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5"/>
        <w:gridCol w:w="539"/>
        <w:gridCol w:w="2623"/>
        <w:gridCol w:w="2538"/>
        <w:gridCol w:w="878"/>
        <w:gridCol w:w="1776"/>
        <w:gridCol w:w="820"/>
        <w:gridCol w:w="821"/>
      </w:tblGrid>
      <w:tr w:rsidR="00DE48AA" w:rsidRPr="008770F9" w14:paraId="68E8C6BA" w14:textId="77777777" w:rsidTr="00C126A7">
        <w:trPr>
          <w:cantSplit/>
          <w:trHeight w:val="302"/>
        </w:trPr>
        <w:tc>
          <w:tcPr>
            <w:tcW w:w="10620" w:type="dxa"/>
            <w:gridSpan w:val="8"/>
            <w:tcBorders>
              <w:top w:val="single" w:sz="18" w:space="0" w:color="1D2952"/>
              <w:left w:val="single" w:sz="18" w:space="0" w:color="1D2952"/>
              <w:bottom w:val="single" w:sz="4" w:space="0" w:color="1D2952"/>
              <w:right w:val="single" w:sz="18" w:space="0" w:color="1D2952"/>
            </w:tcBorders>
            <w:shd w:val="clear" w:color="auto" w:fill="1D2952"/>
            <w:vAlign w:val="center"/>
          </w:tcPr>
          <w:p w14:paraId="3654A91E" w14:textId="77DDA8E3" w:rsidR="00DE48AA" w:rsidRPr="008770F9" w:rsidRDefault="00DE48AA" w:rsidP="00CD7A9C">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b/>
                <w:caps/>
                <w:color w:val="FFFFFF" w:themeColor="background1"/>
                <w:sz w:val="20"/>
              </w:rPr>
              <w:t>FORM</w:t>
            </w:r>
            <w:r>
              <w:rPr>
                <w:rFonts w:ascii="Arial Black" w:hAnsi="Arial Black" w:cs="Times New Roman"/>
                <w:b/>
                <w:caps/>
                <w:color w:val="FFFFFF" w:themeColor="background1"/>
                <w:sz w:val="20"/>
              </w:rPr>
              <w:t xml:space="preserve"> 13 – Notice of </w:t>
            </w:r>
            <w:r w:rsidRPr="0050601E">
              <w:rPr>
                <w:rFonts w:ascii="Arial Black" w:hAnsi="Arial Black" w:cs="Times New Roman"/>
                <w:b/>
                <w:caps/>
                <w:color w:val="FFFFFF" w:themeColor="background1"/>
                <w:sz w:val="20"/>
              </w:rPr>
              <w:t>TAKE-OVER BID</w:t>
            </w:r>
          </w:p>
        </w:tc>
      </w:tr>
      <w:tr w:rsidR="006B506C" w:rsidRPr="009E039A" w14:paraId="238F11E1" w14:textId="77777777" w:rsidTr="00C126A7">
        <w:trPr>
          <w:cantSplit/>
          <w:trHeight w:val="216"/>
        </w:trPr>
        <w:tc>
          <w:tcPr>
            <w:tcW w:w="3787" w:type="dxa"/>
            <w:gridSpan w:val="3"/>
            <w:tcBorders>
              <w:top w:val="single" w:sz="4" w:space="0" w:color="1D2952"/>
              <w:left w:val="single" w:sz="18" w:space="0" w:color="1D2952"/>
              <w:bottom w:val="double" w:sz="4" w:space="0" w:color="1D2952"/>
            </w:tcBorders>
            <w:vAlign w:val="center"/>
          </w:tcPr>
          <w:p w14:paraId="406C84F1" w14:textId="77777777" w:rsidR="006B506C" w:rsidRPr="0099373C" w:rsidRDefault="006B506C" w:rsidP="00EC4BE5">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Notice type:</w:t>
            </w:r>
          </w:p>
        </w:tc>
        <w:tc>
          <w:tcPr>
            <w:tcW w:w="3416" w:type="dxa"/>
            <w:gridSpan w:val="2"/>
            <w:tcBorders>
              <w:top w:val="single" w:sz="4" w:space="0" w:color="1D2952"/>
              <w:left w:val="nil"/>
              <w:bottom w:val="double" w:sz="4" w:space="0" w:color="1D2952"/>
            </w:tcBorders>
            <w:vAlign w:val="center"/>
          </w:tcPr>
          <w:p w14:paraId="1E34D5D0" w14:textId="418CA823" w:rsidR="006B506C" w:rsidRPr="0099373C" w:rsidRDefault="00AA61FB" w:rsidP="00EC4BE5">
            <w:pPr>
              <w:spacing w:before="60" w:after="60" w:line="240" w:lineRule="auto"/>
              <w:rPr>
                <w:rFonts w:ascii="Arial Black" w:eastAsia="Times New Roman" w:hAnsi="Arial Black" w:cs="Times New Roman"/>
                <w:b/>
                <w:color w:val="1D2952"/>
                <w:sz w:val="18"/>
                <w:szCs w:val="18"/>
                <w:lang w:val="en-GB"/>
              </w:rPr>
            </w:pPr>
            <w:sdt>
              <w:sdtPr>
                <w:rPr>
                  <w:rFonts w:ascii="MS Gothic" w:eastAsia="MS Gothic" w:hAnsi="MS Gothic" w:cs="Times New Roman" w:hint="eastAsia"/>
                  <w:b/>
                  <w:bCs/>
                  <w:color w:val="1D2952"/>
                  <w:sz w:val="24"/>
                  <w:szCs w:val="24"/>
                  <w:lang w:val="en-GB"/>
                </w:rPr>
                <w:id w:val="1969246106"/>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r w:rsidR="006B506C">
              <w:rPr>
                <w:rFonts w:ascii="MS Gothic" w:eastAsia="MS Gothic" w:hAnsi="MS Gothic" w:cs="Times New Roman" w:hint="eastAsia"/>
                <w:b/>
                <w:bCs/>
                <w:color w:val="1D2952"/>
                <w:sz w:val="24"/>
                <w:szCs w:val="24"/>
                <w:lang w:val="en-GB"/>
              </w:rPr>
              <w:t xml:space="preserve"> </w:t>
            </w:r>
            <w:r w:rsidR="006B506C">
              <w:rPr>
                <w:rFonts w:ascii="Arial" w:hAnsi="Arial" w:cs="Arial"/>
                <w:sz w:val="19"/>
                <w:szCs w:val="19"/>
              </w:rPr>
              <w:t>Preliminary Notice</w:t>
            </w:r>
          </w:p>
        </w:tc>
        <w:tc>
          <w:tcPr>
            <w:tcW w:w="3417" w:type="dxa"/>
            <w:gridSpan w:val="3"/>
            <w:tcBorders>
              <w:top w:val="single" w:sz="4" w:space="0" w:color="1D2952"/>
              <w:left w:val="nil"/>
              <w:bottom w:val="double" w:sz="4" w:space="0" w:color="1D2952"/>
              <w:right w:val="single" w:sz="18" w:space="0" w:color="1D2952"/>
            </w:tcBorders>
            <w:shd w:val="clear" w:color="auto" w:fill="auto"/>
            <w:vAlign w:val="center"/>
          </w:tcPr>
          <w:p w14:paraId="6BFB523E" w14:textId="452FE8A9" w:rsidR="006B506C" w:rsidRPr="009E039A" w:rsidRDefault="00AA61FB" w:rsidP="00EC4BE5">
            <w:pPr>
              <w:spacing w:before="60" w:after="60" w:line="240" w:lineRule="auto"/>
              <w:jc w:val="both"/>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130855612"/>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r w:rsidR="006B506C">
              <w:rPr>
                <w:rFonts w:ascii="MS Gothic" w:eastAsia="MS Gothic" w:hAnsi="MS Gothic" w:cs="Times New Roman" w:hint="eastAsia"/>
                <w:b/>
                <w:bCs/>
                <w:color w:val="1D2952"/>
                <w:sz w:val="24"/>
                <w:szCs w:val="24"/>
                <w:lang w:val="en-GB"/>
              </w:rPr>
              <w:t xml:space="preserve"> </w:t>
            </w:r>
            <w:r w:rsidR="006B506C">
              <w:rPr>
                <w:rFonts w:ascii="Arial" w:hAnsi="Arial" w:cs="Arial"/>
                <w:sz w:val="19"/>
                <w:szCs w:val="19"/>
              </w:rPr>
              <w:t>Final Notice</w:t>
            </w:r>
          </w:p>
        </w:tc>
      </w:tr>
      <w:tr w:rsidR="0050601E" w:rsidRPr="009E039A" w14:paraId="585AAAFE"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tcPr>
          <w:p w14:paraId="07C13F0C" w14:textId="510B2EB7" w:rsidR="0050601E" w:rsidRPr="00DD2C68" w:rsidRDefault="0050601E" w:rsidP="00E323AF">
            <w:pPr>
              <w:spacing w:before="60" w:after="60" w:line="240" w:lineRule="auto"/>
              <w:rPr>
                <w:rFonts w:ascii="Arial" w:hAnsi="Arial" w:cs="Arial"/>
                <w:sz w:val="19"/>
                <w:szCs w:val="19"/>
              </w:rPr>
            </w:pPr>
            <w:r w:rsidRPr="00DD2C68">
              <w:rPr>
                <w:rFonts w:ascii="Arial" w:hAnsi="Arial" w:cs="Arial"/>
                <w:sz w:val="19"/>
                <w:szCs w:val="19"/>
              </w:rPr>
              <w:t>Name of Listed Issuer:</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1B9C5AF8" w14:textId="77777777" w:rsidR="0050601E" w:rsidRPr="00F037F6" w:rsidRDefault="0050601E" w:rsidP="00EF3632">
            <w:pPr>
              <w:spacing w:before="60" w:after="60" w:line="240" w:lineRule="auto"/>
              <w:rPr>
                <w:rFonts w:ascii="Arial" w:eastAsia="Times New Roman" w:hAnsi="Arial" w:cs="Arial"/>
                <w:bCs/>
                <w:sz w:val="19"/>
                <w:szCs w:val="19"/>
                <w:lang w:val="en-GB"/>
              </w:rPr>
            </w:pPr>
          </w:p>
        </w:tc>
      </w:tr>
      <w:tr w:rsidR="0050601E" w:rsidRPr="009E039A" w14:paraId="26102E1F"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tcPr>
          <w:p w14:paraId="5E7FB818" w14:textId="77777777" w:rsidR="0050601E" w:rsidRPr="0099373C" w:rsidRDefault="0050601E" w:rsidP="0050601E">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4C649F5" w14:textId="77777777" w:rsidR="0050601E" w:rsidRPr="00F037F6" w:rsidRDefault="0050601E" w:rsidP="00EF3632">
            <w:pPr>
              <w:spacing w:before="60" w:after="60" w:line="240" w:lineRule="auto"/>
              <w:rPr>
                <w:rFonts w:ascii="Arial" w:eastAsia="Times New Roman" w:hAnsi="Arial" w:cs="Arial"/>
                <w:bCs/>
                <w:sz w:val="19"/>
                <w:szCs w:val="19"/>
                <w:lang w:val="en-GB"/>
              </w:rPr>
            </w:pPr>
          </w:p>
        </w:tc>
      </w:tr>
      <w:tr w:rsidR="0050601E" w:rsidRPr="009E039A" w14:paraId="37E913C8"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tcPr>
          <w:p w14:paraId="30F64281" w14:textId="38677B25" w:rsidR="0050601E" w:rsidRPr="00DD2C68" w:rsidRDefault="0050601E" w:rsidP="0050601E">
            <w:pPr>
              <w:spacing w:before="60" w:after="60" w:line="240" w:lineRule="auto"/>
              <w:rPr>
                <w:rFonts w:ascii="Arial" w:hAnsi="Arial" w:cs="Arial"/>
                <w:sz w:val="19"/>
                <w:szCs w:val="19"/>
              </w:rPr>
            </w:pPr>
            <w:r>
              <w:rPr>
                <w:rFonts w:ascii="Arial" w:hAnsi="Arial" w:cs="Arial"/>
                <w:sz w:val="19"/>
                <w:szCs w:val="19"/>
              </w:rPr>
              <w:t>Date:</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726215BE" w14:textId="77777777" w:rsidR="0050601E" w:rsidRPr="00F037F6" w:rsidRDefault="0050601E" w:rsidP="00EF3632">
            <w:pPr>
              <w:spacing w:before="60" w:after="60" w:line="240" w:lineRule="auto"/>
              <w:rPr>
                <w:rFonts w:ascii="Arial" w:eastAsia="Times New Roman" w:hAnsi="Arial" w:cs="Arial"/>
                <w:bCs/>
                <w:sz w:val="19"/>
                <w:szCs w:val="19"/>
                <w:lang w:val="en-GB"/>
              </w:rPr>
            </w:pPr>
          </w:p>
        </w:tc>
      </w:tr>
      <w:tr w:rsidR="00DE48AA" w:rsidRPr="009E039A" w14:paraId="112111FD"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tcPr>
          <w:p w14:paraId="32A98730" w14:textId="4E33DA69" w:rsidR="00DE48AA" w:rsidRPr="00DD2C68" w:rsidRDefault="00DE48AA" w:rsidP="00DE48AA">
            <w:pPr>
              <w:spacing w:before="60" w:after="60" w:line="240" w:lineRule="auto"/>
              <w:rPr>
                <w:rFonts w:ascii="Arial" w:hAnsi="Arial" w:cs="Arial"/>
                <w:sz w:val="19"/>
                <w:szCs w:val="19"/>
              </w:rPr>
            </w:pPr>
            <w:r w:rsidRPr="00A51A53">
              <w:rPr>
                <w:rFonts w:ascii="Arial" w:hAnsi="Arial" w:cs="Arial"/>
                <w:sz w:val="19"/>
                <w:szCs w:val="19"/>
              </w:rPr>
              <w:t>Date of news release(s) disclosing the take-over bid:</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2CB40498" w14:textId="21FBE8C0" w:rsidR="00DE48AA" w:rsidRPr="00F037F6" w:rsidRDefault="00DE48AA" w:rsidP="00EF3632">
            <w:pPr>
              <w:spacing w:before="60" w:after="60" w:line="240" w:lineRule="auto"/>
              <w:rPr>
                <w:rFonts w:ascii="Arial" w:eastAsia="Times New Roman" w:hAnsi="Arial" w:cs="Arial"/>
                <w:bCs/>
                <w:sz w:val="19"/>
                <w:szCs w:val="19"/>
                <w:lang w:val="en-GB"/>
              </w:rPr>
            </w:pPr>
            <w:r w:rsidRPr="00F037F6">
              <w:rPr>
                <w:rFonts w:ascii="Arial" w:hAnsi="Arial" w:cs="Arial"/>
                <w:bCs/>
                <w:sz w:val="19"/>
                <w:szCs w:val="19"/>
              </w:rPr>
              <w:br/>
            </w:r>
            <w:r w:rsidRPr="00F037F6">
              <w:rPr>
                <w:rFonts w:ascii="Arial" w:hAnsi="Arial" w:cs="Arial"/>
                <w:bCs/>
                <w:sz w:val="19"/>
                <w:szCs w:val="19"/>
              </w:rPr>
              <w:br/>
            </w:r>
          </w:p>
        </w:tc>
      </w:tr>
      <w:tr w:rsidR="0050601E" w:rsidRPr="009E039A" w14:paraId="0B44C0BB"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tcPr>
          <w:p w14:paraId="0C6A8495" w14:textId="39DA322D" w:rsidR="0050601E" w:rsidRPr="00DD2C68" w:rsidRDefault="00FA4A8B" w:rsidP="0050601E">
            <w:pPr>
              <w:spacing w:before="60" w:after="60" w:line="240" w:lineRule="auto"/>
              <w:rPr>
                <w:rFonts w:ascii="Arial" w:hAnsi="Arial" w:cs="Arial"/>
                <w:sz w:val="19"/>
                <w:szCs w:val="19"/>
              </w:rPr>
            </w:pPr>
            <w:r w:rsidRPr="00FA4A8B">
              <w:rPr>
                <w:rFonts w:ascii="Arial" w:hAnsi="Arial" w:cs="Arial"/>
                <w:sz w:val="19"/>
                <w:szCs w:val="19"/>
              </w:rPr>
              <w:t>Number of Listed Securities outstanding as of the date of this notice:</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D6D0AD0" w14:textId="4932F646" w:rsidR="0050601E" w:rsidRPr="00F037F6" w:rsidRDefault="0050601E" w:rsidP="00EF3632">
            <w:pPr>
              <w:spacing w:before="60" w:after="60" w:line="240" w:lineRule="auto"/>
              <w:rPr>
                <w:rFonts w:ascii="Arial" w:eastAsia="Times New Roman" w:hAnsi="Arial" w:cs="Arial"/>
                <w:bCs/>
                <w:sz w:val="19"/>
                <w:szCs w:val="19"/>
                <w:lang w:val="en-GB"/>
              </w:rPr>
            </w:pPr>
          </w:p>
        </w:tc>
      </w:tr>
      <w:tr w:rsidR="00DE48AA" w:rsidRPr="009E039A" w14:paraId="20F98CF7"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tcPr>
          <w:p w14:paraId="32857EB5" w14:textId="221EE681" w:rsidR="00DE48AA" w:rsidRPr="00FA4A8B" w:rsidRDefault="00DE48AA" w:rsidP="00DE48AA">
            <w:pPr>
              <w:spacing w:before="60" w:after="60" w:line="240" w:lineRule="auto"/>
              <w:rPr>
                <w:rFonts w:ascii="Arial" w:hAnsi="Arial" w:cs="Arial"/>
                <w:sz w:val="19"/>
                <w:szCs w:val="19"/>
              </w:rPr>
            </w:pPr>
            <w:r w:rsidRPr="009C6B49">
              <w:rPr>
                <w:rFonts w:ascii="Arial" w:hAnsi="Arial" w:cs="Arial"/>
                <w:sz w:val="19"/>
                <w:szCs w:val="19"/>
              </w:rPr>
              <w:t>Describe the securities to be issued pursuant to bid:</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EA78F3A" w14:textId="77777777" w:rsidR="00DE48AA" w:rsidRPr="00F037F6" w:rsidRDefault="00DE48AA" w:rsidP="00EF3632">
            <w:pPr>
              <w:spacing w:before="60" w:after="60" w:line="240" w:lineRule="auto"/>
              <w:rPr>
                <w:rFonts w:ascii="Arial" w:eastAsia="Times New Roman" w:hAnsi="Arial" w:cs="Arial"/>
                <w:bCs/>
                <w:sz w:val="19"/>
                <w:szCs w:val="19"/>
                <w:lang w:val="en-GB"/>
              </w:rPr>
            </w:pPr>
            <w:r w:rsidRPr="00F037F6">
              <w:rPr>
                <w:rFonts w:ascii="Arial" w:hAnsi="Arial" w:cs="Arial"/>
                <w:bCs/>
                <w:sz w:val="19"/>
                <w:szCs w:val="19"/>
              </w:rPr>
              <w:br/>
            </w:r>
            <w:r w:rsidRPr="00F037F6">
              <w:rPr>
                <w:rFonts w:ascii="Arial" w:hAnsi="Arial" w:cs="Arial"/>
                <w:bCs/>
                <w:sz w:val="19"/>
                <w:szCs w:val="19"/>
              </w:rPr>
              <w:br/>
            </w:r>
          </w:p>
          <w:p w14:paraId="6CE8D6A5" w14:textId="77777777" w:rsidR="00DE48AA" w:rsidRPr="00F037F6" w:rsidRDefault="00DE48AA" w:rsidP="00EF3632">
            <w:pPr>
              <w:spacing w:before="60" w:after="60" w:line="240" w:lineRule="auto"/>
              <w:rPr>
                <w:rFonts w:ascii="Arial" w:eastAsia="Times New Roman" w:hAnsi="Arial" w:cs="Arial"/>
                <w:bCs/>
                <w:sz w:val="19"/>
                <w:szCs w:val="19"/>
                <w:lang w:val="en-GB"/>
              </w:rPr>
            </w:pPr>
          </w:p>
          <w:p w14:paraId="465AB5B4" w14:textId="15A6B9C8" w:rsidR="00DE48AA" w:rsidRPr="00F037F6" w:rsidRDefault="00DE48AA" w:rsidP="00EF3632">
            <w:pPr>
              <w:spacing w:before="60" w:after="60" w:line="240" w:lineRule="auto"/>
              <w:rPr>
                <w:rFonts w:ascii="Arial" w:eastAsia="Times New Roman" w:hAnsi="Arial" w:cs="Arial"/>
                <w:bCs/>
                <w:sz w:val="19"/>
                <w:szCs w:val="19"/>
                <w:lang w:val="en-GB"/>
              </w:rPr>
            </w:pPr>
          </w:p>
        </w:tc>
      </w:tr>
      <w:tr w:rsidR="00D7081C" w:rsidRPr="009E039A" w14:paraId="79A30992" w14:textId="77777777" w:rsidTr="003E34EF">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tcPr>
          <w:p w14:paraId="2791D516" w14:textId="147C4957" w:rsidR="00D7081C" w:rsidRPr="00FA4A8B" w:rsidRDefault="00D7081C" w:rsidP="003E34EF">
            <w:pPr>
              <w:spacing w:before="60" w:after="60" w:line="240" w:lineRule="auto"/>
              <w:jc w:val="both"/>
              <w:rPr>
                <w:rFonts w:ascii="Arial" w:hAnsi="Arial" w:cs="Arial"/>
                <w:sz w:val="19"/>
                <w:szCs w:val="19"/>
              </w:rPr>
            </w:pPr>
            <w:r w:rsidRPr="00322E0B">
              <w:rPr>
                <w:rFonts w:ascii="Arial" w:hAnsi="Arial" w:cs="Arial"/>
                <w:sz w:val="19"/>
                <w:szCs w:val="19"/>
              </w:rPr>
              <w:t xml:space="preserve">Name the target and whether or not it is already listed on an exchange (if </w:t>
            </w:r>
            <w:proofErr w:type="gramStart"/>
            <w:r w:rsidRPr="00322E0B">
              <w:rPr>
                <w:rFonts w:ascii="Arial" w:hAnsi="Arial" w:cs="Arial"/>
                <w:sz w:val="19"/>
                <w:szCs w:val="19"/>
              </w:rPr>
              <w:t>so</w:t>
            </w:r>
            <w:proofErr w:type="gramEnd"/>
            <w:r w:rsidRPr="00322E0B">
              <w:rPr>
                <w:rFonts w:ascii="Arial" w:hAnsi="Arial" w:cs="Arial"/>
                <w:sz w:val="19"/>
                <w:szCs w:val="19"/>
              </w:rPr>
              <w:t xml:space="preserve"> state the exchange):</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tcPr>
          <w:p w14:paraId="16345E04" w14:textId="77777777" w:rsidR="003E34EF" w:rsidRPr="00F037F6" w:rsidRDefault="003E34EF" w:rsidP="00EF3632">
            <w:pPr>
              <w:spacing w:before="60" w:after="60" w:line="240" w:lineRule="auto"/>
              <w:rPr>
                <w:rFonts w:ascii="Arial" w:eastAsia="Times New Roman" w:hAnsi="Arial" w:cs="Arial"/>
                <w:bCs/>
                <w:sz w:val="19"/>
                <w:szCs w:val="19"/>
                <w:lang w:val="en-GB"/>
              </w:rPr>
            </w:pPr>
          </w:p>
          <w:p w14:paraId="25158C03" w14:textId="77777777" w:rsidR="003E34EF" w:rsidRPr="00F037F6" w:rsidRDefault="003E34EF" w:rsidP="00EF3632">
            <w:pPr>
              <w:spacing w:before="60" w:after="60" w:line="240" w:lineRule="auto"/>
              <w:rPr>
                <w:rFonts w:ascii="Arial" w:eastAsia="Times New Roman" w:hAnsi="Arial" w:cs="Arial"/>
                <w:bCs/>
                <w:sz w:val="19"/>
                <w:szCs w:val="19"/>
                <w:lang w:val="en-GB"/>
              </w:rPr>
            </w:pPr>
          </w:p>
          <w:p w14:paraId="20A87526" w14:textId="46A90DA8" w:rsidR="00D7081C" w:rsidRPr="00F037F6" w:rsidRDefault="00D7081C" w:rsidP="00EF3632">
            <w:pPr>
              <w:spacing w:before="60" w:after="60" w:line="240" w:lineRule="auto"/>
              <w:rPr>
                <w:rFonts w:ascii="Arial" w:eastAsia="Times New Roman" w:hAnsi="Arial" w:cs="Arial"/>
                <w:bCs/>
                <w:sz w:val="19"/>
                <w:szCs w:val="19"/>
                <w:lang w:val="en-GB"/>
              </w:rPr>
            </w:pPr>
          </w:p>
        </w:tc>
      </w:tr>
      <w:tr w:rsidR="00D7081C" w:rsidRPr="009E039A" w14:paraId="0CEFD8B1"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vAlign w:val="center"/>
          </w:tcPr>
          <w:p w14:paraId="39066A75" w14:textId="6C9B3DBF" w:rsidR="00D7081C" w:rsidRPr="00FA4A8B" w:rsidRDefault="00D7081C" w:rsidP="00D7081C">
            <w:pPr>
              <w:spacing w:before="60" w:after="60" w:line="240" w:lineRule="auto"/>
              <w:jc w:val="both"/>
              <w:rPr>
                <w:rFonts w:ascii="Arial" w:hAnsi="Arial" w:cs="Arial"/>
                <w:sz w:val="19"/>
                <w:szCs w:val="19"/>
              </w:rPr>
            </w:pPr>
            <w:r w:rsidRPr="004B18F7">
              <w:rPr>
                <w:rFonts w:ascii="Arial" w:hAnsi="Arial" w:cs="Arial"/>
                <w:sz w:val="19"/>
                <w:szCs w:val="19"/>
              </w:rPr>
              <w:t>Maximum number of shares to be issued under the bid:</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462ED00A" w14:textId="77777777" w:rsidR="00D7081C" w:rsidRPr="00F037F6" w:rsidRDefault="00D7081C" w:rsidP="00EF3632">
            <w:pPr>
              <w:spacing w:before="60" w:after="60" w:line="240" w:lineRule="auto"/>
              <w:rPr>
                <w:rFonts w:ascii="Arial" w:eastAsia="Times New Roman" w:hAnsi="Arial" w:cs="Arial"/>
                <w:bCs/>
                <w:sz w:val="19"/>
                <w:szCs w:val="19"/>
                <w:lang w:val="en-GB"/>
              </w:rPr>
            </w:pPr>
          </w:p>
        </w:tc>
      </w:tr>
      <w:tr w:rsidR="00D7081C" w:rsidRPr="009E039A" w14:paraId="16AF6AFC"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vAlign w:val="center"/>
          </w:tcPr>
          <w:p w14:paraId="3D38258B" w14:textId="0A0B4434" w:rsidR="00D7081C" w:rsidRPr="00FA4A8B" w:rsidRDefault="00D7081C" w:rsidP="00D7081C">
            <w:pPr>
              <w:spacing w:before="60" w:after="60" w:line="240" w:lineRule="auto"/>
              <w:jc w:val="both"/>
              <w:rPr>
                <w:rFonts w:ascii="Arial" w:hAnsi="Arial" w:cs="Arial"/>
                <w:sz w:val="19"/>
                <w:szCs w:val="19"/>
              </w:rPr>
            </w:pPr>
            <w:r w:rsidRPr="003A5D7F">
              <w:rPr>
                <w:rFonts w:ascii="Arial" w:hAnsi="Arial" w:cs="Arial"/>
                <w:sz w:val="19"/>
                <w:szCs w:val="19"/>
              </w:rPr>
              <w:t>Percentage of issued and outstanding securities to be issued under the bid</w:t>
            </w:r>
            <w:r>
              <w:rPr>
                <w:rStyle w:val="FootnoteReference"/>
                <w:rFonts w:ascii="Arial" w:hAnsi="Arial" w:cs="Arial"/>
                <w:sz w:val="19"/>
                <w:szCs w:val="19"/>
              </w:rPr>
              <w:footnoteReference w:id="1"/>
            </w:r>
            <w:r w:rsidRPr="003A5D7F">
              <w:rPr>
                <w:rFonts w:ascii="Arial" w:hAnsi="Arial" w:cs="Arial"/>
                <w:sz w:val="19"/>
                <w:szCs w:val="19"/>
              </w:rPr>
              <w:t>:</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2E0526D4" w14:textId="1AC29F9F" w:rsidR="00D7081C" w:rsidRPr="00F037F6" w:rsidRDefault="00D7081C" w:rsidP="00EF3632">
            <w:pPr>
              <w:spacing w:before="60" w:after="60" w:line="240" w:lineRule="auto"/>
              <w:rPr>
                <w:rFonts w:ascii="Arial" w:eastAsia="Times New Roman" w:hAnsi="Arial" w:cs="Arial"/>
                <w:bCs/>
                <w:sz w:val="19"/>
                <w:szCs w:val="19"/>
                <w:lang w:val="en-GB"/>
              </w:rPr>
            </w:pPr>
            <w:r w:rsidRPr="00F037F6">
              <w:rPr>
                <w:rFonts w:ascii="Arial" w:eastAsia="Times New Roman" w:hAnsi="Arial" w:cs="Arial"/>
                <w:bCs/>
                <w:sz w:val="19"/>
                <w:szCs w:val="19"/>
                <w:lang w:val="en-GB"/>
              </w:rPr>
              <w:br/>
            </w:r>
          </w:p>
        </w:tc>
      </w:tr>
      <w:tr w:rsidR="00D7081C" w:rsidRPr="009E039A" w14:paraId="3792073E" w14:textId="77777777" w:rsidTr="00C126A7">
        <w:trPr>
          <w:cantSplit/>
          <w:trHeight w:val="216"/>
        </w:trPr>
        <w:tc>
          <w:tcPr>
            <w:tcW w:w="6325" w:type="dxa"/>
            <w:gridSpan w:val="4"/>
            <w:tcBorders>
              <w:top w:val="double" w:sz="4" w:space="0" w:color="1D2952"/>
              <w:left w:val="single" w:sz="18" w:space="0" w:color="1D2952"/>
              <w:bottom w:val="double" w:sz="4" w:space="0" w:color="1D2952"/>
              <w:right w:val="double" w:sz="4" w:space="0" w:color="1D2952"/>
            </w:tcBorders>
            <w:vAlign w:val="center"/>
          </w:tcPr>
          <w:p w14:paraId="7EB29ECE" w14:textId="50EF9D11" w:rsidR="00D7081C" w:rsidRPr="00FA4A8B" w:rsidRDefault="00D7081C" w:rsidP="00D7081C">
            <w:pPr>
              <w:spacing w:before="60" w:after="60" w:line="240" w:lineRule="auto"/>
              <w:jc w:val="both"/>
              <w:rPr>
                <w:rFonts w:ascii="Arial" w:hAnsi="Arial" w:cs="Arial"/>
                <w:sz w:val="19"/>
                <w:szCs w:val="19"/>
              </w:rPr>
            </w:pPr>
            <w:r w:rsidRPr="0045704B">
              <w:rPr>
                <w:rFonts w:ascii="Arial" w:hAnsi="Arial" w:cs="Arial"/>
                <w:sz w:val="19"/>
                <w:szCs w:val="19"/>
              </w:rPr>
              <w:t>Expiry date of the bid:</w:t>
            </w:r>
          </w:p>
        </w:tc>
        <w:tc>
          <w:tcPr>
            <w:tcW w:w="4295"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25834245" w14:textId="77777777" w:rsidR="00D7081C" w:rsidRPr="00F037F6" w:rsidRDefault="00D7081C" w:rsidP="00EF3632">
            <w:pPr>
              <w:spacing w:before="60" w:after="60" w:line="240" w:lineRule="auto"/>
              <w:rPr>
                <w:rFonts w:ascii="Arial" w:eastAsia="Times New Roman" w:hAnsi="Arial" w:cs="Arial"/>
                <w:bCs/>
                <w:sz w:val="19"/>
                <w:szCs w:val="19"/>
                <w:lang w:val="en-GB"/>
              </w:rPr>
            </w:pPr>
          </w:p>
        </w:tc>
      </w:tr>
      <w:tr w:rsidR="00D7081C" w:rsidRPr="00267F1E" w14:paraId="5BE6A893" w14:textId="77777777" w:rsidTr="00C126A7">
        <w:trPr>
          <w:cantSplit/>
          <w:trHeight w:val="453"/>
        </w:trPr>
        <w:tc>
          <w:tcPr>
            <w:tcW w:w="625" w:type="dxa"/>
            <w:tcBorders>
              <w:top w:val="double" w:sz="4" w:space="0" w:color="1D2952"/>
              <w:left w:val="single" w:sz="18" w:space="0" w:color="1D2952"/>
              <w:bottom w:val="double" w:sz="4" w:space="0" w:color="1D2952"/>
            </w:tcBorders>
          </w:tcPr>
          <w:p w14:paraId="516FA493" w14:textId="78AEEFD7" w:rsidR="00D7081C" w:rsidRPr="00DD2C68" w:rsidRDefault="00D7081C" w:rsidP="001653F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 xml:space="preserve">A. </w:t>
            </w:r>
          </w:p>
        </w:tc>
        <w:tc>
          <w:tcPr>
            <w:tcW w:w="9995" w:type="dxa"/>
            <w:gridSpan w:val="7"/>
            <w:tcBorders>
              <w:top w:val="double" w:sz="4" w:space="0" w:color="1D2952"/>
              <w:left w:val="nil"/>
              <w:bottom w:val="double" w:sz="4" w:space="0" w:color="1D2952"/>
              <w:right w:val="single" w:sz="18" w:space="0" w:color="1D2952"/>
            </w:tcBorders>
            <w:shd w:val="clear" w:color="auto" w:fill="FFFFFF"/>
          </w:tcPr>
          <w:p w14:paraId="407F61D6" w14:textId="1DAD9BF0" w:rsidR="00D7081C" w:rsidRPr="00546981" w:rsidRDefault="00D7081C" w:rsidP="00D7081C">
            <w:pPr>
              <w:spacing w:before="60" w:after="60" w:line="240" w:lineRule="auto"/>
              <w:jc w:val="both"/>
              <w:rPr>
                <w:rFonts w:ascii="Arial" w:hAnsi="Arial" w:cs="Arial"/>
                <w:b/>
                <w:bCs/>
                <w:sz w:val="19"/>
                <w:szCs w:val="19"/>
              </w:rPr>
            </w:pPr>
            <w:r w:rsidRPr="00923460">
              <w:rPr>
                <w:rFonts w:ascii="Arial" w:hAnsi="Arial" w:cs="Arial"/>
                <w:b/>
                <w:bCs/>
                <w:sz w:val="19"/>
                <w:szCs w:val="19"/>
              </w:rPr>
              <w:t>Describe any agreements to tender to the bid:</w:t>
            </w:r>
          </w:p>
          <w:p w14:paraId="43096EA6" w14:textId="57628BAA" w:rsidR="00D7081C" w:rsidRPr="00F13857" w:rsidRDefault="00546981" w:rsidP="00736C17">
            <w:pPr>
              <w:spacing w:before="60" w:after="60" w:line="240" w:lineRule="auto"/>
              <w:rPr>
                <w:rFonts w:ascii="Arial" w:hAnsi="Arial" w:cs="Arial"/>
                <w:sz w:val="19"/>
                <w:szCs w:val="19"/>
              </w:rPr>
            </w:pPr>
            <w:r w:rsidRPr="00F037F6">
              <w:rPr>
                <w:rFonts w:ascii="Arial" w:hAnsi="Arial" w:cs="Arial"/>
                <w:sz w:val="19"/>
                <w:szCs w:val="19"/>
              </w:rPr>
              <w:br/>
            </w:r>
            <w:r w:rsidRPr="00F037F6">
              <w:rPr>
                <w:rFonts w:ascii="Arial" w:hAnsi="Arial" w:cs="Arial"/>
                <w:sz w:val="19"/>
                <w:szCs w:val="19"/>
              </w:rPr>
              <w:br/>
            </w:r>
            <w:r w:rsidR="00923460" w:rsidRPr="00F037F6">
              <w:rPr>
                <w:rFonts w:ascii="Arial" w:hAnsi="Arial" w:cs="Arial"/>
                <w:sz w:val="19"/>
                <w:szCs w:val="19"/>
              </w:rPr>
              <w:br/>
            </w:r>
            <w:r w:rsidR="00923460" w:rsidRPr="00F037F6">
              <w:rPr>
                <w:rFonts w:ascii="Arial" w:hAnsi="Arial" w:cs="Arial"/>
                <w:sz w:val="19"/>
                <w:szCs w:val="19"/>
              </w:rPr>
              <w:br/>
            </w:r>
          </w:p>
        </w:tc>
      </w:tr>
      <w:tr w:rsidR="00D7081C" w:rsidRPr="00267F1E" w14:paraId="63EF3890" w14:textId="77777777" w:rsidTr="00C126A7">
        <w:trPr>
          <w:cantSplit/>
          <w:trHeight w:val="453"/>
        </w:trPr>
        <w:tc>
          <w:tcPr>
            <w:tcW w:w="625" w:type="dxa"/>
            <w:tcBorders>
              <w:top w:val="double" w:sz="4" w:space="0" w:color="1D2952"/>
              <w:left w:val="single" w:sz="18" w:space="0" w:color="1D2952"/>
            </w:tcBorders>
          </w:tcPr>
          <w:p w14:paraId="65CE4CB6" w14:textId="2AA92996" w:rsidR="00D7081C" w:rsidRPr="00D81680" w:rsidRDefault="00D7081C" w:rsidP="001653F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DD2C68">
              <w:rPr>
                <w:rFonts w:ascii="Arial Black" w:eastAsia="Times New Roman" w:hAnsi="Arial Black" w:cs="Times New Roman"/>
                <w:b/>
                <w:color w:val="1D2952"/>
                <w:sz w:val="18"/>
                <w:szCs w:val="18"/>
                <w:lang w:val="en-GB"/>
              </w:rPr>
              <w:t>.</w:t>
            </w:r>
          </w:p>
        </w:tc>
        <w:tc>
          <w:tcPr>
            <w:tcW w:w="9995" w:type="dxa"/>
            <w:gridSpan w:val="7"/>
            <w:vMerge w:val="restart"/>
            <w:tcBorders>
              <w:top w:val="double" w:sz="4" w:space="0" w:color="1D2952"/>
              <w:left w:val="nil"/>
              <w:right w:val="single" w:sz="18" w:space="0" w:color="1D2952"/>
            </w:tcBorders>
            <w:shd w:val="clear" w:color="auto" w:fill="FFFFFF"/>
          </w:tcPr>
          <w:p w14:paraId="36785CB1" w14:textId="77777777" w:rsidR="00D7081C" w:rsidRDefault="00D7081C" w:rsidP="00D7081C">
            <w:pPr>
              <w:spacing w:before="60" w:after="60" w:line="240" w:lineRule="auto"/>
              <w:jc w:val="both"/>
              <w:rPr>
                <w:rFonts w:ascii="Arial" w:hAnsi="Arial" w:cs="Arial"/>
                <w:b/>
                <w:bCs/>
                <w:sz w:val="19"/>
                <w:szCs w:val="19"/>
              </w:rPr>
            </w:pPr>
            <w:r w:rsidRPr="00923460">
              <w:rPr>
                <w:rFonts w:ascii="Arial" w:hAnsi="Arial" w:cs="Arial"/>
                <w:b/>
                <w:bCs/>
                <w:sz w:val="19"/>
                <w:szCs w:val="19"/>
              </w:rPr>
              <w:t>Describe any additional material terms of the take-over bid not otherwise disclosed above.</w:t>
            </w:r>
          </w:p>
          <w:p w14:paraId="3661E086" w14:textId="1291D4AE" w:rsidR="00923460" w:rsidRPr="006C229D" w:rsidRDefault="00923460" w:rsidP="006C229D">
            <w:pPr>
              <w:spacing w:before="60" w:after="60" w:line="240" w:lineRule="auto"/>
              <w:rPr>
                <w:rFonts w:ascii="Arial" w:hAnsi="Arial" w:cs="Arial"/>
                <w:sz w:val="19"/>
                <w:szCs w:val="19"/>
              </w:rPr>
            </w:pPr>
            <w:r w:rsidRPr="006C229D">
              <w:rPr>
                <w:rFonts w:ascii="Arial" w:hAnsi="Arial" w:cs="Arial"/>
                <w:sz w:val="19"/>
                <w:szCs w:val="19"/>
              </w:rPr>
              <w:br/>
            </w:r>
            <w:r w:rsidRPr="006C229D">
              <w:rPr>
                <w:rFonts w:ascii="Arial" w:hAnsi="Arial" w:cs="Arial"/>
                <w:sz w:val="19"/>
                <w:szCs w:val="19"/>
              </w:rPr>
              <w:br/>
            </w:r>
            <w:r w:rsidRPr="006C229D">
              <w:rPr>
                <w:rFonts w:ascii="Arial" w:hAnsi="Arial" w:cs="Arial"/>
                <w:sz w:val="19"/>
                <w:szCs w:val="19"/>
              </w:rPr>
              <w:br/>
            </w:r>
            <w:r w:rsidRPr="006C229D">
              <w:rPr>
                <w:rFonts w:ascii="Arial" w:hAnsi="Arial" w:cs="Arial"/>
                <w:sz w:val="19"/>
                <w:szCs w:val="19"/>
              </w:rPr>
              <w:br/>
            </w:r>
          </w:p>
        </w:tc>
      </w:tr>
      <w:tr w:rsidR="00D7081C" w14:paraId="6C78E0C9" w14:textId="77777777" w:rsidTr="00C126A7">
        <w:trPr>
          <w:cantSplit/>
          <w:trHeight w:val="978"/>
        </w:trPr>
        <w:tc>
          <w:tcPr>
            <w:tcW w:w="625" w:type="dxa"/>
            <w:tcBorders>
              <w:left w:val="single" w:sz="18" w:space="0" w:color="1D2952"/>
              <w:bottom w:val="double" w:sz="4" w:space="0" w:color="1D2952"/>
            </w:tcBorders>
            <w:vAlign w:val="bottom"/>
          </w:tcPr>
          <w:p w14:paraId="6B59DBE1" w14:textId="77777777" w:rsidR="00D7081C" w:rsidRPr="00DD2C68" w:rsidRDefault="00D7081C" w:rsidP="001653FC">
            <w:pPr>
              <w:spacing w:before="40" w:after="60" w:line="240" w:lineRule="auto"/>
              <w:jc w:val="right"/>
              <w:rPr>
                <w:rFonts w:ascii="Arial Black" w:eastAsia="Times New Roman" w:hAnsi="Arial Black" w:cs="Times New Roman"/>
                <w:b/>
                <w:color w:val="1D2952"/>
                <w:sz w:val="18"/>
                <w:szCs w:val="18"/>
                <w:lang w:val="en-GB"/>
              </w:rPr>
            </w:pPr>
          </w:p>
        </w:tc>
        <w:tc>
          <w:tcPr>
            <w:tcW w:w="9995" w:type="dxa"/>
            <w:gridSpan w:val="7"/>
            <w:vMerge/>
            <w:tcBorders>
              <w:left w:val="nil"/>
              <w:bottom w:val="double" w:sz="4" w:space="0" w:color="1D2952"/>
              <w:right w:val="single" w:sz="18" w:space="0" w:color="1D2952"/>
            </w:tcBorders>
            <w:shd w:val="clear" w:color="auto" w:fill="FFFFFF"/>
          </w:tcPr>
          <w:p w14:paraId="71553255" w14:textId="77777777" w:rsidR="00D7081C" w:rsidRDefault="00D7081C" w:rsidP="00D7081C">
            <w:pPr>
              <w:spacing w:before="60" w:after="60" w:line="240" w:lineRule="auto"/>
              <w:rPr>
                <w:rFonts w:ascii="Arial" w:hAnsi="Arial" w:cs="Arial"/>
                <w:sz w:val="19"/>
                <w:szCs w:val="19"/>
              </w:rPr>
            </w:pPr>
          </w:p>
        </w:tc>
      </w:tr>
      <w:tr w:rsidR="00D7081C" w14:paraId="7DF158CF" w14:textId="77777777" w:rsidTr="00C126A7">
        <w:trPr>
          <w:cantSplit/>
          <w:trHeight w:val="435"/>
        </w:trPr>
        <w:tc>
          <w:tcPr>
            <w:tcW w:w="625" w:type="dxa"/>
            <w:tcBorders>
              <w:top w:val="double" w:sz="4" w:space="0" w:color="1D2952"/>
              <w:left w:val="single" w:sz="18" w:space="0" w:color="1D2952"/>
            </w:tcBorders>
          </w:tcPr>
          <w:p w14:paraId="74546D3C" w14:textId="7FE0A683" w:rsidR="00D7081C" w:rsidRPr="00DD2C68" w:rsidRDefault="00D7081C" w:rsidP="001653F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Pr="00DD2C68">
              <w:rPr>
                <w:rFonts w:ascii="Arial Black" w:eastAsia="Times New Roman" w:hAnsi="Arial Black" w:cs="Times New Roman"/>
                <w:b/>
                <w:color w:val="1D2952"/>
                <w:sz w:val="18"/>
                <w:szCs w:val="18"/>
                <w:lang w:val="en-GB"/>
              </w:rPr>
              <w:t>.</w:t>
            </w:r>
          </w:p>
        </w:tc>
        <w:tc>
          <w:tcPr>
            <w:tcW w:w="9995" w:type="dxa"/>
            <w:gridSpan w:val="7"/>
            <w:vMerge w:val="restart"/>
            <w:tcBorders>
              <w:top w:val="double" w:sz="4" w:space="0" w:color="1D2952"/>
              <w:left w:val="nil"/>
              <w:right w:val="single" w:sz="18" w:space="0" w:color="1D2952"/>
            </w:tcBorders>
            <w:shd w:val="clear" w:color="auto" w:fill="FFFFFF"/>
          </w:tcPr>
          <w:p w14:paraId="7E07E778" w14:textId="77777777" w:rsidR="00D7081C" w:rsidRDefault="00D7081C" w:rsidP="00D7081C">
            <w:pPr>
              <w:spacing w:before="60" w:after="60" w:line="240" w:lineRule="auto"/>
              <w:jc w:val="both"/>
              <w:rPr>
                <w:rFonts w:ascii="Arial" w:hAnsi="Arial" w:cs="Arial"/>
                <w:b/>
                <w:bCs/>
                <w:sz w:val="19"/>
                <w:szCs w:val="19"/>
              </w:rPr>
            </w:pPr>
            <w:r w:rsidRPr="00923460">
              <w:rPr>
                <w:rFonts w:ascii="Arial" w:hAnsi="Arial" w:cs="Arial"/>
                <w:b/>
                <w:bCs/>
                <w:sz w:val="19"/>
                <w:szCs w:val="19"/>
              </w:rPr>
              <w:t>Provide full particulars of any direct or indirect involvement by Related Persons in the bid (including receipt of any brokerage or finder’s fees):</w:t>
            </w:r>
          </w:p>
          <w:p w14:paraId="34A01FD1" w14:textId="5F8DCD1D" w:rsidR="00923460" w:rsidRPr="008E2D5D" w:rsidRDefault="00923460" w:rsidP="005C56AB">
            <w:pPr>
              <w:spacing w:before="60" w:after="60" w:line="240" w:lineRule="auto"/>
              <w:rPr>
                <w:rFonts w:ascii="Arial" w:hAnsi="Arial" w:cs="Arial"/>
                <w:sz w:val="19"/>
                <w:szCs w:val="19"/>
              </w:rPr>
            </w:pPr>
            <w:r w:rsidRPr="008E2D5D">
              <w:rPr>
                <w:rFonts w:ascii="Arial" w:hAnsi="Arial" w:cs="Arial"/>
                <w:sz w:val="19"/>
                <w:szCs w:val="19"/>
              </w:rPr>
              <w:br/>
            </w:r>
            <w:r w:rsidRPr="008E2D5D">
              <w:rPr>
                <w:rFonts w:ascii="Arial" w:hAnsi="Arial" w:cs="Arial"/>
                <w:sz w:val="19"/>
                <w:szCs w:val="19"/>
              </w:rPr>
              <w:br/>
            </w:r>
            <w:r w:rsidRPr="008E2D5D">
              <w:rPr>
                <w:rFonts w:ascii="Arial" w:hAnsi="Arial" w:cs="Arial"/>
                <w:sz w:val="19"/>
                <w:szCs w:val="19"/>
              </w:rPr>
              <w:br/>
            </w:r>
            <w:r w:rsidRPr="008E2D5D">
              <w:rPr>
                <w:rFonts w:ascii="Arial" w:hAnsi="Arial" w:cs="Arial"/>
                <w:sz w:val="19"/>
                <w:szCs w:val="19"/>
              </w:rPr>
              <w:br/>
            </w:r>
          </w:p>
        </w:tc>
      </w:tr>
      <w:tr w:rsidR="00D7081C" w:rsidRPr="009A4E62" w14:paraId="1FA499E4" w14:textId="77777777" w:rsidTr="00C126A7">
        <w:trPr>
          <w:cantSplit/>
          <w:trHeight w:val="400"/>
        </w:trPr>
        <w:tc>
          <w:tcPr>
            <w:tcW w:w="625" w:type="dxa"/>
            <w:tcBorders>
              <w:left w:val="single" w:sz="18" w:space="0" w:color="1D2952"/>
            </w:tcBorders>
            <w:vAlign w:val="bottom"/>
          </w:tcPr>
          <w:p w14:paraId="2EE8ECC5" w14:textId="77777777" w:rsidR="00D7081C" w:rsidRPr="00DD2C68" w:rsidRDefault="00D7081C" w:rsidP="00D7081C">
            <w:pPr>
              <w:spacing w:before="60" w:after="60" w:line="240" w:lineRule="auto"/>
              <w:jc w:val="right"/>
              <w:rPr>
                <w:rFonts w:ascii="Arial Black" w:eastAsia="Times New Roman" w:hAnsi="Arial Black" w:cs="Times New Roman"/>
                <w:b/>
                <w:color w:val="1D2952"/>
                <w:sz w:val="18"/>
                <w:szCs w:val="18"/>
                <w:lang w:val="en-GB"/>
              </w:rPr>
            </w:pPr>
          </w:p>
        </w:tc>
        <w:tc>
          <w:tcPr>
            <w:tcW w:w="9995" w:type="dxa"/>
            <w:gridSpan w:val="7"/>
            <w:vMerge/>
            <w:tcBorders>
              <w:left w:val="nil"/>
              <w:bottom w:val="double" w:sz="4" w:space="0" w:color="1D2952"/>
              <w:right w:val="single" w:sz="18" w:space="0" w:color="1D2952"/>
            </w:tcBorders>
            <w:shd w:val="clear" w:color="auto" w:fill="FFFFFF"/>
          </w:tcPr>
          <w:p w14:paraId="38D006E0" w14:textId="77777777" w:rsidR="00D7081C" w:rsidRPr="009A4E62" w:rsidRDefault="00D7081C" w:rsidP="00D7081C">
            <w:pPr>
              <w:spacing w:before="60" w:after="60" w:line="240" w:lineRule="auto"/>
              <w:jc w:val="both"/>
              <w:rPr>
                <w:rFonts w:ascii="Arial" w:hAnsi="Arial" w:cs="Arial"/>
                <w:sz w:val="19"/>
                <w:szCs w:val="19"/>
              </w:rPr>
            </w:pPr>
          </w:p>
        </w:tc>
      </w:tr>
      <w:tr w:rsidR="00D7081C" w:rsidRPr="009A4E62" w14:paraId="09F57ADB" w14:textId="77777777" w:rsidTr="00C126A7">
        <w:trPr>
          <w:cantSplit/>
          <w:trHeight w:val="400"/>
        </w:trPr>
        <w:tc>
          <w:tcPr>
            <w:tcW w:w="625" w:type="dxa"/>
            <w:tcBorders>
              <w:left w:val="single" w:sz="18" w:space="0" w:color="1D2952"/>
              <w:bottom w:val="single" w:sz="18" w:space="0" w:color="1D2952"/>
            </w:tcBorders>
            <w:vAlign w:val="bottom"/>
          </w:tcPr>
          <w:p w14:paraId="26D63A66" w14:textId="77777777" w:rsidR="00D7081C" w:rsidRPr="00DD2C68" w:rsidRDefault="00D7081C" w:rsidP="00D7081C">
            <w:pPr>
              <w:spacing w:before="60" w:after="60" w:line="240" w:lineRule="auto"/>
              <w:jc w:val="right"/>
              <w:rPr>
                <w:rFonts w:ascii="Arial Black" w:eastAsia="Times New Roman" w:hAnsi="Arial Black" w:cs="Times New Roman"/>
                <w:b/>
                <w:color w:val="1D2952"/>
                <w:sz w:val="18"/>
                <w:szCs w:val="18"/>
                <w:lang w:val="en-GB"/>
              </w:rPr>
            </w:pPr>
          </w:p>
        </w:tc>
        <w:tc>
          <w:tcPr>
            <w:tcW w:w="9995" w:type="dxa"/>
            <w:gridSpan w:val="7"/>
            <w:vMerge/>
            <w:tcBorders>
              <w:left w:val="nil"/>
              <w:bottom w:val="single" w:sz="18" w:space="0" w:color="1D2952"/>
              <w:right w:val="single" w:sz="18" w:space="0" w:color="1D2952"/>
            </w:tcBorders>
            <w:shd w:val="clear" w:color="auto" w:fill="FFFFFF"/>
          </w:tcPr>
          <w:p w14:paraId="038B16C7" w14:textId="77777777" w:rsidR="00D7081C" w:rsidRPr="009A4E62" w:rsidRDefault="00D7081C" w:rsidP="00D7081C">
            <w:pPr>
              <w:spacing w:before="60" w:after="60" w:line="240" w:lineRule="auto"/>
              <w:jc w:val="both"/>
              <w:rPr>
                <w:rFonts w:ascii="Arial" w:hAnsi="Arial" w:cs="Arial"/>
                <w:sz w:val="19"/>
                <w:szCs w:val="19"/>
              </w:rPr>
            </w:pPr>
          </w:p>
        </w:tc>
      </w:tr>
      <w:tr w:rsidR="00D7081C" w:rsidRPr="00C65883" w14:paraId="0BA72458" w14:textId="77777777" w:rsidTr="00AA51F4">
        <w:trPr>
          <w:cantSplit/>
          <w:trHeight w:val="317"/>
        </w:trPr>
        <w:tc>
          <w:tcPr>
            <w:tcW w:w="625" w:type="dxa"/>
            <w:tcBorders>
              <w:top w:val="single" w:sz="18" w:space="0" w:color="1D2952"/>
              <w:left w:val="single" w:sz="18" w:space="0" w:color="1D2952"/>
            </w:tcBorders>
          </w:tcPr>
          <w:p w14:paraId="7F899A85" w14:textId="66F391E9" w:rsidR="00D7081C" w:rsidRPr="0099373C" w:rsidRDefault="00D7081C" w:rsidP="00AA51F4">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D</w:t>
            </w:r>
            <w:r w:rsidRPr="0099373C">
              <w:rPr>
                <w:rFonts w:ascii="Arial Black" w:eastAsia="Times New Roman" w:hAnsi="Arial Black" w:cs="Times New Roman"/>
                <w:b/>
                <w:color w:val="1D2952"/>
                <w:sz w:val="18"/>
                <w:szCs w:val="18"/>
                <w:lang w:val="en-GB"/>
              </w:rPr>
              <w:t>.</w:t>
            </w:r>
          </w:p>
        </w:tc>
        <w:tc>
          <w:tcPr>
            <w:tcW w:w="8354" w:type="dxa"/>
            <w:gridSpan w:val="5"/>
            <w:vMerge w:val="restart"/>
            <w:tcBorders>
              <w:top w:val="single" w:sz="18" w:space="0" w:color="1D2952"/>
              <w:left w:val="nil"/>
              <w:right w:val="double" w:sz="4" w:space="0" w:color="1D2952"/>
            </w:tcBorders>
            <w:shd w:val="clear" w:color="auto" w:fill="FFFFFF"/>
            <w:vAlign w:val="center"/>
          </w:tcPr>
          <w:p w14:paraId="5CF9E5B0" w14:textId="3BE5CCA8" w:rsidR="00D7081C" w:rsidRPr="00FA25C9" w:rsidRDefault="00D7081C" w:rsidP="00D7081C">
            <w:pPr>
              <w:spacing w:before="60" w:after="60" w:line="240" w:lineRule="auto"/>
              <w:jc w:val="both"/>
              <w:rPr>
                <w:rFonts w:ascii="Arial" w:eastAsia="Times New Roman" w:hAnsi="Arial" w:cs="Arial"/>
                <w:b/>
                <w:bCs/>
                <w:sz w:val="19"/>
                <w:szCs w:val="19"/>
                <w:lang w:val="en-GB"/>
              </w:rPr>
            </w:pPr>
            <w:r w:rsidRPr="00FA25C9">
              <w:rPr>
                <w:rFonts w:ascii="Arial" w:hAnsi="Arial" w:cs="Arial"/>
                <w:b/>
                <w:bCs/>
                <w:sz w:val="19"/>
                <w:szCs w:val="19"/>
              </w:rPr>
              <w:t>Will the closing of the take-over bid result in the creation of a new Insider? If the response is “YES”, the Exchange may require the new Insider to complete and clear a Personal Information Form prior to the closing of the take-over bid.</w:t>
            </w:r>
          </w:p>
        </w:tc>
        <w:tc>
          <w:tcPr>
            <w:tcW w:w="820" w:type="dxa"/>
            <w:tcBorders>
              <w:top w:val="single" w:sz="18" w:space="0" w:color="1D2952"/>
              <w:left w:val="double" w:sz="4" w:space="0" w:color="1D2952"/>
              <w:bottom w:val="single" w:sz="4" w:space="0" w:color="1D2952"/>
            </w:tcBorders>
            <w:shd w:val="clear" w:color="auto" w:fill="1D2952"/>
            <w:vAlign w:val="center"/>
          </w:tcPr>
          <w:p w14:paraId="79ED7710" w14:textId="77777777" w:rsidR="00D7081C" w:rsidRPr="00C65883" w:rsidRDefault="00D7081C" w:rsidP="00D7081C">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1" w:type="dxa"/>
            <w:tcBorders>
              <w:top w:val="single" w:sz="18" w:space="0" w:color="1D2952"/>
              <w:left w:val="nil"/>
              <w:bottom w:val="single" w:sz="4" w:space="0" w:color="1D2952"/>
              <w:right w:val="single" w:sz="18" w:space="0" w:color="1D2952"/>
            </w:tcBorders>
            <w:shd w:val="clear" w:color="auto" w:fill="1D2952"/>
            <w:vAlign w:val="center"/>
          </w:tcPr>
          <w:p w14:paraId="25FD90C2" w14:textId="77777777" w:rsidR="00D7081C" w:rsidRPr="00C65883" w:rsidRDefault="00D7081C" w:rsidP="00D7081C">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D7081C" w:rsidRPr="00C65883" w14:paraId="07B4A5F0" w14:textId="77777777" w:rsidTr="00A82744">
        <w:trPr>
          <w:cantSplit/>
          <w:trHeight w:val="317"/>
        </w:trPr>
        <w:tc>
          <w:tcPr>
            <w:tcW w:w="625" w:type="dxa"/>
            <w:tcBorders>
              <w:left w:val="single" w:sz="18" w:space="0" w:color="1D2952"/>
              <w:bottom w:val="double" w:sz="4" w:space="0" w:color="1D2952"/>
            </w:tcBorders>
          </w:tcPr>
          <w:p w14:paraId="2629EA7C" w14:textId="77777777" w:rsidR="00D7081C" w:rsidRDefault="00D7081C" w:rsidP="00AA51F4">
            <w:pPr>
              <w:spacing w:before="40" w:after="60" w:line="240" w:lineRule="auto"/>
              <w:jc w:val="right"/>
              <w:rPr>
                <w:rFonts w:ascii="Arial Black" w:eastAsia="Times New Roman" w:hAnsi="Arial Black" w:cs="Times New Roman"/>
                <w:b/>
                <w:color w:val="1D2952"/>
                <w:sz w:val="18"/>
                <w:szCs w:val="18"/>
                <w:lang w:val="en-GB"/>
              </w:rPr>
            </w:pPr>
          </w:p>
        </w:tc>
        <w:tc>
          <w:tcPr>
            <w:tcW w:w="8354" w:type="dxa"/>
            <w:gridSpan w:val="5"/>
            <w:vMerge/>
            <w:tcBorders>
              <w:left w:val="nil"/>
              <w:bottom w:val="double" w:sz="4" w:space="0" w:color="1D2952"/>
              <w:right w:val="double" w:sz="4" w:space="0" w:color="1D2952"/>
            </w:tcBorders>
            <w:shd w:val="clear" w:color="auto" w:fill="FFFFFF"/>
            <w:vAlign w:val="center"/>
          </w:tcPr>
          <w:p w14:paraId="31155876" w14:textId="77777777" w:rsidR="00D7081C" w:rsidRPr="00C65883" w:rsidRDefault="00D7081C" w:rsidP="00D7081C">
            <w:pPr>
              <w:spacing w:before="60" w:after="60" w:line="240" w:lineRule="auto"/>
              <w:jc w:val="both"/>
              <w:rPr>
                <w:rFonts w:ascii="Arial" w:hAnsi="Arial" w:cs="Arial"/>
                <w:b/>
                <w:bCs/>
                <w:sz w:val="19"/>
                <w:szCs w:val="19"/>
              </w:rPr>
            </w:pPr>
          </w:p>
        </w:tc>
        <w:tc>
          <w:tcPr>
            <w:tcW w:w="820" w:type="dxa"/>
            <w:tcBorders>
              <w:top w:val="single" w:sz="4" w:space="0" w:color="1D2952"/>
              <w:left w:val="double" w:sz="4" w:space="0" w:color="1D2952"/>
              <w:bottom w:val="single" w:sz="4" w:space="0" w:color="1D2952"/>
              <w:right w:val="single" w:sz="4" w:space="0" w:color="auto"/>
            </w:tcBorders>
            <w:shd w:val="clear" w:color="auto" w:fill="auto"/>
            <w:vAlign w:val="center"/>
          </w:tcPr>
          <w:p w14:paraId="1AEF704D" w14:textId="717B4AA4" w:rsidR="00D7081C" w:rsidRPr="00C65883" w:rsidRDefault="00AA61FB" w:rsidP="00D7081C">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544254829"/>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auto"/>
              <w:bottom w:val="single" w:sz="4" w:space="0" w:color="1D2952"/>
              <w:right w:val="single" w:sz="18" w:space="0" w:color="1D2952"/>
            </w:tcBorders>
            <w:shd w:val="clear" w:color="auto" w:fill="auto"/>
            <w:vAlign w:val="center"/>
          </w:tcPr>
          <w:p w14:paraId="6EB3EDBF" w14:textId="6C09A72A" w:rsidR="00D7081C" w:rsidRPr="00C65883" w:rsidRDefault="00AA61FB" w:rsidP="00D7081C">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730197955"/>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r>
      <w:tr w:rsidR="00E83881" w:rsidRPr="00C65883" w14:paraId="5DFAC7BD" w14:textId="77777777" w:rsidTr="00A82744">
        <w:trPr>
          <w:cantSplit/>
          <w:trHeight w:val="317"/>
        </w:trPr>
        <w:tc>
          <w:tcPr>
            <w:tcW w:w="625" w:type="dxa"/>
            <w:tcBorders>
              <w:top w:val="double" w:sz="4" w:space="0" w:color="1D2952"/>
              <w:left w:val="single" w:sz="18" w:space="0" w:color="1D2952"/>
              <w:bottom w:val="nil"/>
            </w:tcBorders>
            <w:vAlign w:val="center"/>
          </w:tcPr>
          <w:p w14:paraId="22406B84" w14:textId="6D845E0C" w:rsidR="00E83881" w:rsidRPr="0099373C" w:rsidRDefault="00B860C9" w:rsidP="00AA51F4">
            <w:pPr>
              <w:spacing w:before="6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r w:rsidR="00E83881" w:rsidRPr="0099373C">
              <w:rPr>
                <w:rFonts w:ascii="Arial Black" w:eastAsia="Times New Roman" w:hAnsi="Arial Black" w:cs="Times New Roman"/>
                <w:b/>
                <w:color w:val="1D2952"/>
                <w:sz w:val="18"/>
                <w:szCs w:val="18"/>
                <w:lang w:val="en-GB"/>
              </w:rPr>
              <w:t>.</w:t>
            </w:r>
          </w:p>
        </w:tc>
        <w:tc>
          <w:tcPr>
            <w:tcW w:w="8354" w:type="dxa"/>
            <w:gridSpan w:val="5"/>
            <w:tcBorders>
              <w:top w:val="double" w:sz="4" w:space="0" w:color="1D2952"/>
              <w:left w:val="nil"/>
              <w:bottom w:val="double" w:sz="4" w:space="0" w:color="1D2952"/>
              <w:right w:val="double" w:sz="4" w:space="0" w:color="1D2952"/>
            </w:tcBorders>
            <w:shd w:val="clear" w:color="auto" w:fill="FFFFFF"/>
            <w:vAlign w:val="center"/>
          </w:tcPr>
          <w:p w14:paraId="1C695EB4" w14:textId="77777777" w:rsidR="00E83881" w:rsidRPr="0099373C" w:rsidRDefault="00E83881" w:rsidP="002E7A9B">
            <w:pPr>
              <w:spacing w:before="60" w:after="60" w:line="240" w:lineRule="auto"/>
              <w:jc w:val="both"/>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20" w:type="dxa"/>
            <w:tcBorders>
              <w:top w:val="single" w:sz="4" w:space="0" w:color="1D2952"/>
              <w:left w:val="double" w:sz="4" w:space="0" w:color="1D2952"/>
              <w:bottom w:val="single" w:sz="4" w:space="0" w:color="1D2952"/>
            </w:tcBorders>
            <w:shd w:val="clear" w:color="auto" w:fill="1D2952"/>
            <w:vAlign w:val="center"/>
          </w:tcPr>
          <w:p w14:paraId="1162EF44" w14:textId="77777777" w:rsidR="00E83881" w:rsidRPr="00C65883" w:rsidRDefault="00E83881" w:rsidP="002E7A9B">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21" w:type="dxa"/>
            <w:tcBorders>
              <w:top w:val="single" w:sz="4" w:space="0" w:color="1D2952"/>
              <w:left w:val="nil"/>
              <w:bottom w:val="single" w:sz="4" w:space="0" w:color="1D2952"/>
              <w:right w:val="single" w:sz="18" w:space="0" w:color="1D2952"/>
            </w:tcBorders>
            <w:shd w:val="clear" w:color="auto" w:fill="1D2952"/>
            <w:vAlign w:val="center"/>
          </w:tcPr>
          <w:p w14:paraId="1B81CF4F" w14:textId="77777777" w:rsidR="00E83881" w:rsidRPr="00C65883" w:rsidRDefault="00E83881" w:rsidP="002E7A9B">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E83881" w:rsidRPr="009C6ED1" w14:paraId="76B1F1B6" w14:textId="77777777" w:rsidTr="002D70E3">
        <w:trPr>
          <w:cantSplit/>
          <w:trHeight w:val="431"/>
        </w:trPr>
        <w:tc>
          <w:tcPr>
            <w:tcW w:w="625" w:type="dxa"/>
            <w:tcBorders>
              <w:left w:val="single" w:sz="18" w:space="0" w:color="1D2952"/>
            </w:tcBorders>
          </w:tcPr>
          <w:p w14:paraId="78CD86C8" w14:textId="77777777" w:rsidR="00E83881" w:rsidRPr="00D81680" w:rsidRDefault="00E83881" w:rsidP="002E7A9B">
            <w:pPr>
              <w:spacing w:before="60" w:after="60" w:line="240" w:lineRule="auto"/>
              <w:jc w:val="right"/>
              <w:rPr>
                <w:rFonts w:ascii="Arial Black" w:eastAsia="Times New Roman" w:hAnsi="Arial Black" w:cs="Times New Roman"/>
                <w:b/>
                <w:color w:val="1D2952"/>
                <w:sz w:val="18"/>
                <w:szCs w:val="18"/>
                <w:lang w:val="en-GB"/>
              </w:rPr>
            </w:pPr>
          </w:p>
        </w:tc>
        <w:tc>
          <w:tcPr>
            <w:tcW w:w="539" w:type="dxa"/>
            <w:tcBorders>
              <w:top w:val="double" w:sz="4" w:space="0" w:color="1D2952"/>
              <w:left w:val="nil"/>
            </w:tcBorders>
            <w:shd w:val="clear" w:color="auto" w:fill="FFFFFF"/>
          </w:tcPr>
          <w:p w14:paraId="7FB8A0C9" w14:textId="77777777" w:rsidR="00E83881" w:rsidRPr="00D81680" w:rsidRDefault="00E83881" w:rsidP="001653FC">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15" w:type="dxa"/>
            <w:gridSpan w:val="4"/>
            <w:tcBorders>
              <w:top w:val="double" w:sz="4" w:space="0" w:color="1D2952"/>
              <w:left w:val="nil"/>
              <w:bottom w:val="single" w:sz="4" w:space="0" w:color="1D2952"/>
              <w:right w:val="double" w:sz="4" w:space="0" w:color="1D2952"/>
            </w:tcBorders>
            <w:shd w:val="clear" w:color="auto" w:fill="FFFFFF"/>
            <w:vAlign w:val="center"/>
          </w:tcPr>
          <w:p w14:paraId="68FD4238" w14:textId="747EA29C" w:rsidR="00E83881" w:rsidRPr="00F202C8" w:rsidRDefault="00A475F2" w:rsidP="000F06E5">
            <w:pPr>
              <w:spacing w:before="60" w:after="60" w:line="240" w:lineRule="auto"/>
              <w:jc w:val="both"/>
              <w:rPr>
                <w:rFonts w:ascii="Arial" w:hAnsi="Arial" w:cs="Arial"/>
                <w:sz w:val="19"/>
                <w:szCs w:val="19"/>
              </w:rPr>
            </w:pPr>
            <w:r w:rsidRPr="00A475F2">
              <w:rPr>
                <w:rFonts w:ascii="Arial" w:hAnsi="Arial" w:cs="Arial"/>
                <w:sz w:val="19"/>
                <w:szCs w:val="19"/>
              </w:rPr>
              <w:t>Will the completion of the take-over bid materially affect control of the Listed Issuer (see Section 10.09(</w:t>
            </w:r>
            <w:r w:rsidR="001077F2">
              <w:rPr>
                <w:rFonts w:ascii="Arial" w:hAnsi="Arial" w:cs="Arial"/>
                <w:sz w:val="19"/>
                <w:szCs w:val="19"/>
              </w:rPr>
              <w:t>9</w:t>
            </w:r>
            <w:r w:rsidRPr="00A475F2">
              <w:rPr>
                <w:rFonts w:ascii="Arial" w:hAnsi="Arial" w:cs="Arial"/>
                <w:sz w:val="19"/>
                <w:szCs w:val="19"/>
              </w:rPr>
              <w:t>) of the Listing Manual)?</w:t>
            </w:r>
          </w:p>
        </w:tc>
        <w:tc>
          <w:tcPr>
            <w:tcW w:w="820"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56E23A48" w14:textId="7D21C3A8" w:rsidR="00E83881" w:rsidRPr="009C6ED1" w:rsidRDefault="00AA61FB"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077897480"/>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3FE2B120" w14:textId="0B29E85D" w:rsidR="00E83881" w:rsidRPr="009C6ED1" w:rsidRDefault="00AA61FB"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304905739"/>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r>
      <w:tr w:rsidR="00E83881" w:rsidRPr="009C6ED1" w14:paraId="553AC431" w14:textId="77777777" w:rsidTr="002D70E3">
        <w:trPr>
          <w:cantSplit/>
          <w:trHeight w:val="431"/>
        </w:trPr>
        <w:tc>
          <w:tcPr>
            <w:tcW w:w="625" w:type="dxa"/>
            <w:tcBorders>
              <w:left w:val="single" w:sz="18" w:space="0" w:color="1D2952"/>
            </w:tcBorders>
          </w:tcPr>
          <w:p w14:paraId="2392D233" w14:textId="77777777" w:rsidR="00E83881" w:rsidRPr="00D81680" w:rsidRDefault="00E83881" w:rsidP="002E7A9B">
            <w:pPr>
              <w:spacing w:before="60" w:after="60" w:line="240" w:lineRule="auto"/>
              <w:jc w:val="right"/>
              <w:rPr>
                <w:rFonts w:ascii="Arial Black" w:eastAsia="Times New Roman" w:hAnsi="Arial Black" w:cs="Times New Roman"/>
                <w:b/>
                <w:color w:val="1D2952"/>
                <w:sz w:val="18"/>
                <w:szCs w:val="18"/>
                <w:lang w:val="en-GB"/>
              </w:rPr>
            </w:pPr>
          </w:p>
        </w:tc>
        <w:tc>
          <w:tcPr>
            <w:tcW w:w="539" w:type="dxa"/>
            <w:tcBorders>
              <w:left w:val="nil"/>
            </w:tcBorders>
            <w:shd w:val="clear" w:color="auto" w:fill="FFFFFF"/>
            <w:vAlign w:val="center"/>
          </w:tcPr>
          <w:p w14:paraId="5296A466" w14:textId="77777777" w:rsidR="00E83881" w:rsidRPr="00712F22" w:rsidRDefault="00E83881" w:rsidP="002D70E3">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815" w:type="dxa"/>
            <w:gridSpan w:val="4"/>
            <w:tcBorders>
              <w:top w:val="single" w:sz="4" w:space="0" w:color="1D2952"/>
              <w:left w:val="nil"/>
              <w:bottom w:val="single" w:sz="4" w:space="0" w:color="1D2952"/>
              <w:right w:val="double" w:sz="4" w:space="0" w:color="1D2952"/>
            </w:tcBorders>
            <w:shd w:val="clear" w:color="auto" w:fill="FFFFFF"/>
            <w:vAlign w:val="center"/>
          </w:tcPr>
          <w:p w14:paraId="782DCDE5" w14:textId="3D71FCBB" w:rsidR="00E83881" w:rsidRPr="00192D21" w:rsidRDefault="00600502" w:rsidP="000F06E5">
            <w:pPr>
              <w:spacing w:before="60" w:after="60" w:line="240" w:lineRule="auto"/>
              <w:jc w:val="both"/>
              <w:rPr>
                <w:rFonts w:ascii="Arial" w:hAnsi="Arial" w:cs="Arial"/>
                <w:sz w:val="19"/>
                <w:szCs w:val="19"/>
              </w:rPr>
            </w:pPr>
            <w:r w:rsidRPr="00600502">
              <w:rPr>
                <w:rFonts w:ascii="Arial" w:hAnsi="Arial" w:cs="Arial"/>
                <w:sz w:val="19"/>
                <w:szCs w:val="19"/>
              </w:rPr>
              <w:t>Is Section 10.11 of the Listing Manual applicable to the take-over bid?</w:t>
            </w:r>
          </w:p>
        </w:tc>
        <w:tc>
          <w:tcPr>
            <w:tcW w:w="820"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1040B92A" w14:textId="3C4C9C1C" w:rsidR="00E83881" w:rsidRPr="009C6ED1" w:rsidRDefault="00AA61FB"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45635911"/>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1E0C342F" w14:textId="032F8D43" w:rsidR="00E83881" w:rsidRPr="009C6ED1" w:rsidRDefault="00AA61FB"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843623475"/>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r>
      <w:tr w:rsidR="00E83881" w:rsidRPr="009C6ED1" w14:paraId="3F8BE742" w14:textId="77777777" w:rsidTr="002D70E3">
        <w:trPr>
          <w:cantSplit/>
          <w:trHeight w:val="431"/>
        </w:trPr>
        <w:tc>
          <w:tcPr>
            <w:tcW w:w="625" w:type="dxa"/>
            <w:tcBorders>
              <w:left w:val="single" w:sz="18" w:space="0" w:color="1D2952"/>
            </w:tcBorders>
          </w:tcPr>
          <w:p w14:paraId="4A8572D4" w14:textId="77777777" w:rsidR="00E83881" w:rsidRPr="00D81680" w:rsidRDefault="00E83881" w:rsidP="002E7A9B">
            <w:pPr>
              <w:spacing w:before="60" w:after="60" w:line="240" w:lineRule="auto"/>
              <w:jc w:val="right"/>
              <w:rPr>
                <w:rFonts w:ascii="Arial Black" w:eastAsia="Times New Roman" w:hAnsi="Arial Black" w:cs="Times New Roman"/>
                <w:b/>
                <w:color w:val="1D2952"/>
                <w:sz w:val="18"/>
                <w:szCs w:val="18"/>
                <w:lang w:val="en-GB"/>
              </w:rPr>
            </w:pPr>
          </w:p>
        </w:tc>
        <w:tc>
          <w:tcPr>
            <w:tcW w:w="539" w:type="dxa"/>
            <w:tcBorders>
              <w:left w:val="nil"/>
            </w:tcBorders>
            <w:shd w:val="clear" w:color="auto" w:fill="FFFFFF"/>
          </w:tcPr>
          <w:p w14:paraId="7C92FF7C" w14:textId="77777777" w:rsidR="00E83881" w:rsidRPr="00712F22" w:rsidRDefault="00E83881" w:rsidP="001653FC">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(iii)</w:t>
            </w:r>
          </w:p>
        </w:tc>
        <w:tc>
          <w:tcPr>
            <w:tcW w:w="7815" w:type="dxa"/>
            <w:gridSpan w:val="4"/>
            <w:tcBorders>
              <w:top w:val="single" w:sz="4" w:space="0" w:color="1D2952"/>
              <w:left w:val="nil"/>
              <w:bottom w:val="single" w:sz="4" w:space="0" w:color="1D2952"/>
              <w:right w:val="double" w:sz="4" w:space="0" w:color="1D2952"/>
            </w:tcBorders>
            <w:shd w:val="clear" w:color="auto" w:fill="FFFFFF"/>
            <w:vAlign w:val="center"/>
          </w:tcPr>
          <w:p w14:paraId="2E603B66" w14:textId="393127F5" w:rsidR="00E83881" w:rsidRPr="00192D21" w:rsidRDefault="00933E00" w:rsidP="000F06E5">
            <w:pPr>
              <w:spacing w:before="60" w:after="60" w:line="240" w:lineRule="auto"/>
              <w:jc w:val="both"/>
              <w:rPr>
                <w:rFonts w:ascii="Arial" w:hAnsi="Arial" w:cs="Arial"/>
                <w:sz w:val="19"/>
                <w:szCs w:val="19"/>
              </w:rPr>
            </w:pPr>
            <w:r w:rsidRPr="00933E00">
              <w:rPr>
                <w:rFonts w:ascii="Arial" w:hAnsi="Arial" w:cs="Arial"/>
                <w:sz w:val="19"/>
                <w:szCs w:val="19"/>
              </w:rPr>
              <w:t xml:space="preserve">Is Multilateral Instrument 61-101 </w:t>
            </w:r>
            <w:r w:rsidRPr="001E0420">
              <w:rPr>
                <w:rFonts w:ascii="Arial" w:hAnsi="Arial" w:cs="Arial"/>
                <w:i/>
                <w:iCs/>
                <w:sz w:val="19"/>
                <w:szCs w:val="19"/>
              </w:rPr>
              <w:t>Protection of Minority Holders in Special Transacti</w:t>
            </w:r>
            <w:r w:rsidRPr="00933E00">
              <w:rPr>
                <w:rFonts w:ascii="Arial" w:hAnsi="Arial" w:cs="Arial"/>
                <w:sz w:val="19"/>
                <w:szCs w:val="19"/>
              </w:rPr>
              <w:t>ons applicable to the take-over bid?</w:t>
            </w:r>
          </w:p>
        </w:tc>
        <w:tc>
          <w:tcPr>
            <w:tcW w:w="820"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CD37B91" w14:textId="4448FE3F" w:rsidR="00E83881" w:rsidRPr="009C6ED1" w:rsidRDefault="00AA61FB"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99663407"/>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18383668" w14:textId="7EF64ED6" w:rsidR="00E83881" w:rsidRPr="009C6ED1" w:rsidRDefault="00AA61FB" w:rsidP="002E7A9B">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952392437"/>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r>
      <w:tr w:rsidR="005B3278" w:rsidRPr="009C6ED1" w14:paraId="5A35232B" w14:textId="77777777" w:rsidTr="002D70E3">
        <w:trPr>
          <w:cantSplit/>
          <w:trHeight w:val="431"/>
        </w:trPr>
        <w:tc>
          <w:tcPr>
            <w:tcW w:w="625" w:type="dxa"/>
            <w:tcBorders>
              <w:left w:val="single" w:sz="18" w:space="0" w:color="1D2952"/>
            </w:tcBorders>
          </w:tcPr>
          <w:p w14:paraId="48C061A2" w14:textId="77777777" w:rsidR="005B3278" w:rsidRPr="00D81680" w:rsidRDefault="005B3278" w:rsidP="005B3278">
            <w:pPr>
              <w:spacing w:before="60" w:after="60" w:line="240" w:lineRule="auto"/>
              <w:jc w:val="right"/>
              <w:rPr>
                <w:rFonts w:ascii="Arial Black" w:eastAsia="Times New Roman" w:hAnsi="Arial Black" w:cs="Times New Roman"/>
                <w:b/>
                <w:color w:val="1D2952"/>
                <w:sz w:val="18"/>
                <w:szCs w:val="18"/>
                <w:lang w:val="en-GB"/>
              </w:rPr>
            </w:pPr>
          </w:p>
        </w:tc>
        <w:tc>
          <w:tcPr>
            <w:tcW w:w="539" w:type="dxa"/>
            <w:tcBorders>
              <w:left w:val="nil"/>
            </w:tcBorders>
            <w:shd w:val="clear" w:color="auto" w:fill="FFFFFF"/>
            <w:vAlign w:val="center"/>
          </w:tcPr>
          <w:p w14:paraId="176E6DBA" w14:textId="0AA65B3C" w:rsidR="005B3278" w:rsidRPr="00D81680" w:rsidRDefault="005B3278" w:rsidP="002D70E3">
            <w:pPr>
              <w:spacing w:before="6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(iv)</w:t>
            </w:r>
          </w:p>
        </w:tc>
        <w:tc>
          <w:tcPr>
            <w:tcW w:w="7815" w:type="dxa"/>
            <w:gridSpan w:val="4"/>
            <w:tcBorders>
              <w:top w:val="single" w:sz="4" w:space="0" w:color="1D2952"/>
              <w:left w:val="nil"/>
              <w:bottom w:val="single" w:sz="4" w:space="0" w:color="1D2952"/>
              <w:right w:val="double" w:sz="4" w:space="0" w:color="1D2952"/>
            </w:tcBorders>
            <w:shd w:val="clear" w:color="auto" w:fill="FFFFFF"/>
            <w:vAlign w:val="center"/>
          </w:tcPr>
          <w:p w14:paraId="0274454D" w14:textId="1CD60C4F" w:rsidR="005B3278" w:rsidRPr="00933E00" w:rsidRDefault="005B3278" w:rsidP="005B3278">
            <w:pPr>
              <w:spacing w:before="60" w:after="60" w:line="240" w:lineRule="auto"/>
              <w:jc w:val="both"/>
              <w:rPr>
                <w:rFonts w:ascii="Arial" w:hAnsi="Arial" w:cs="Arial"/>
                <w:sz w:val="19"/>
                <w:szCs w:val="19"/>
              </w:rPr>
            </w:pPr>
            <w:r w:rsidRPr="003D1AA5">
              <w:rPr>
                <w:rFonts w:ascii="Arial" w:hAnsi="Arial" w:cs="Arial"/>
                <w:sz w:val="19"/>
                <w:szCs w:val="19"/>
              </w:rPr>
              <w:t xml:space="preserve">Is shareholder approval required in connection with the take-over bid?  </w:t>
            </w:r>
          </w:p>
        </w:tc>
        <w:tc>
          <w:tcPr>
            <w:tcW w:w="820"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41934E73" w14:textId="00575D2E" w:rsidR="005B3278" w:rsidRDefault="00AA61FB" w:rsidP="005B3278">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38005969"/>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4B356373" w14:textId="1E9878FA" w:rsidR="005B3278" w:rsidRPr="009C6ED1" w:rsidRDefault="00AA61FB" w:rsidP="005B3278">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584024837"/>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r>
      <w:tr w:rsidR="005B3278" w:rsidRPr="009C6ED1" w14:paraId="4CF88DE5" w14:textId="77777777" w:rsidTr="002D70E3">
        <w:trPr>
          <w:cantSplit/>
          <w:trHeight w:val="431"/>
        </w:trPr>
        <w:tc>
          <w:tcPr>
            <w:tcW w:w="625" w:type="dxa"/>
            <w:tcBorders>
              <w:left w:val="single" w:sz="18" w:space="0" w:color="1D2952"/>
            </w:tcBorders>
          </w:tcPr>
          <w:p w14:paraId="7533A0A5" w14:textId="77777777" w:rsidR="005B3278" w:rsidRPr="00D81680" w:rsidRDefault="005B3278" w:rsidP="005B3278">
            <w:pPr>
              <w:spacing w:before="60" w:after="60" w:line="240" w:lineRule="auto"/>
              <w:jc w:val="right"/>
              <w:rPr>
                <w:rFonts w:ascii="Arial Black" w:eastAsia="Times New Roman" w:hAnsi="Arial Black" w:cs="Times New Roman"/>
                <w:b/>
                <w:color w:val="1D2952"/>
                <w:sz w:val="18"/>
                <w:szCs w:val="18"/>
                <w:lang w:val="en-GB"/>
              </w:rPr>
            </w:pPr>
          </w:p>
        </w:tc>
        <w:tc>
          <w:tcPr>
            <w:tcW w:w="539" w:type="dxa"/>
            <w:tcBorders>
              <w:left w:val="nil"/>
              <w:bottom w:val="double" w:sz="4" w:space="0" w:color="1D2952"/>
            </w:tcBorders>
            <w:shd w:val="clear" w:color="auto" w:fill="FFFFFF"/>
            <w:vAlign w:val="center"/>
          </w:tcPr>
          <w:p w14:paraId="58A6D9B1" w14:textId="2B06C226" w:rsidR="005B3278" w:rsidRPr="00712F22" w:rsidRDefault="005B3278" w:rsidP="002D70E3">
            <w:pPr>
              <w:spacing w:before="60" w:after="60" w:line="240" w:lineRule="auto"/>
              <w:jc w:val="right"/>
              <w:rPr>
                <w:rFonts w:ascii="Arial" w:eastAsia="Times New Roman" w:hAnsi="Arial" w:cs="Arial"/>
                <w:b/>
                <w:color w:val="1D2952"/>
                <w:sz w:val="18"/>
                <w:szCs w:val="18"/>
                <w:lang w:val="en-GB"/>
              </w:rPr>
            </w:pPr>
            <w:r w:rsidRPr="00712F22">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815" w:type="dxa"/>
            <w:gridSpan w:val="4"/>
            <w:tcBorders>
              <w:top w:val="single" w:sz="4" w:space="0" w:color="1D2952"/>
              <w:left w:val="nil"/>
              <w:bottom w:val="double" w:sz="4" w:space="0" w:color="1D2952"/>
              <w:right w:val="double" w:sz="4" w:space="0" w:color="1D2952"/>
            </w:tcBorders>
            <w:shd w:val="clear" w:color="auto" w:fill="FFFFFF"/>
            <w:vAlign w:val="center"/>
          </w:tcPr>
          <w:p w14:paraId="13FA4FF8" w14:textId="7697596B" w:rsidR="005B3278" w:rsidRPr="00192D21" w:rsidRDefault="005B3278" w:rsidP="005B3278">
            <w:pPr>
              <w:spacing w:before="60" w:after="60" w:line="240" w:lineRule="auto"/>
              <w:jc w:val="both"/>
              <w:rPr>
                <w:rFonts w:ascii="Arial" w:hAnsi="Arial" w:cs="Arial"/>
                <w:sz w:val="19"/>
                <w:szCs w:val="19"/>
              </w:rPr>
            </w:pPr>
            <w:r w:rsidRPr="00F424D2">
              <w:rPr>
                <w:rFonts w:ascii="Arial" w:hAnsi="Arial" w:cs="Arial"/>
                <w:sz w:val="19"/>
                <w:szCs w:val="19"/>
              </w:rPr>
              <w:t>Is the Listed Issuer relying on any exemption from shareholder approval requirements?</w:t>
            </w:r>
          </w:p>
        </w:tc>
        <w:tc>
          <w:tcPr>
            <w:tcW w:w="820"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04DA8975" w14:textId="1FB81E9F" w:rsidR="005B3278" w:rsidRPr="009C6ED1" w:rsidRDefault="00AA61FB" w:rsidP="005B3278">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214106523"/>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c>
          <w:tcPr>
            <w:tcW w:w="821" w:type="dxa"/>
            <w:tcBorders>
              <w:top w:val="single" w:sz="4" w:space="0" w:color="1D2952"/>
              <w:left w:val="single" w:sz="4" w:space="0" w:color="1D2952"/>
              <w:bottom w:val="double" w:sz="4" w:space="0" w:color="1D2952"/>
              <w:right w:val="single" w:sz="18" w:space="0" w:color="1D2952"/>
            </w:tcBorders>
            <w:shd w:val="clear" w:color="auto" w:fill="FFFFFF"/>
            <w:vAlign w:val="center"/>
          </w:tcPr>
          <w:p w14:paraId="4ED7EEFF" w14:textId="1FD419C9" w:rsidR="005B3278" w:rsidRPr="009C6ED1" w:rsidRDefault="00AA61FB" w:rsidP="005B3278">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517073730"/>
                <w14:checkbox>
                  <w14:checked w14:val="0"/>
                  <w14:checkedState w14:val="2612" w14:font="MS Gothic"/>
                  <w14:uncheckedState w14:val="2610" w14:font="MS Gothic"/>
                </w14:checkbox>
              </w:sdtPr>
              <w:sdtEndPr/>
              <w:sdtContent>
                <w:r w:rsidR="002225DB">
                  <w:rPr>
                    <w:rFonts w:ascii="MS Gothic" w:eastAsia="MS Gothic" w:hAnsi="MS Gothic" w:cs="Times New Roman" w:hint="eastAsia"/>
                    <w:b/>
                    <w:bCs/>
                    <w:color w:val="1D2952"/>
                    <w:sz w:val="24"/>
                    <w:szCs w:val="24"/>
                    <w:lang w:val="en-GB"/>
                  </w:rPr>
                  <w:t>☐</w:t>
                </w:r>
              </w:sdtContent>
            </w:sdt>
          </w:p>
        </w:tc>
      </w:tr>
      <w:tr w:rsidR="005B3278" w:rsidRPr="0028474A" w14:paraId="4E0F9CA3" w14:textId="77777777" w:rsidTr="00C126A7">
        <w:trPr>
          <w:cantSplit/>
          <w:trHeight w:val="216"/>
        </w:trPr>
        <w:tc>
          <w:tcPr>
            <w:tcW w:w="625" w:type="dxa"/>
            <w:tcBorders>
              <w:left w:val="single" w:sz="18" w:space="0" w:color="1D2952"/>
              <w:bottom w:val="single" w:sz="18" w:space="0" w:color="1D2952"/>
              <w:right w:val="nil"/>
            </w:tcBorders>
          </w:tcPr>
          <w:p w14:paraId="4BF9CCBF" w14:textId="77777777" w:rsidR="005B3278" w:rsidRDefault="005B3278" w:rsidP="005B3278">
            <w:pPr>
              <w:spacing w:before="60" w:after="60" w:line="240" w:lineRule="auto"/>
              <w:rPr>
                <w:rFonts w:ascii="Arial" w:hAnsi="Arial" w:cs="Arial"/>
                <w:sz w:val="19"/>
                <w:szCs w:val="19"/>
              </w:rPr>
            </w:pPr>
          </w:p>
          <w:p w14:paraId="4930868A" w14:textId="77777777" w:rsidR="005B3278" w:rsidRDefault="005B3278" w:rsidP="005B3278">
            <w:pPr>
              <w:spacing w:before="60" w:after="60" w:line="240" w:lineRule="auto"/>
              <w:rPr>
                <w:rFonts w:ascii="Arial" w:hAnsi="Arial" w:cs="Arial"/>
                <w:sz w:val="19"/>
                <w:szCs w:val="19"/>
              </w:rPr>
            </w:pPr>
          </w:p>
          <w:p w14:paraId="65A63D17" w14:textId="77777777" w:rsidR="005B3278" w:rsidRDefault="005B3278" w:rsidP="005B3278">
            <w:pPr>
              <w:spacing w:before="60" w:after="60" w:line="240" w:lineRule="auto"/>
              <w:rPr>
                <w:rFonts w:ascii="Arial" w:hAnsi="Arial" w:cs="Arial"/>
                <w:sz w:val="19"/>
                <w:szCs w:val="19"/>
              </w:rPr>
            </w:pPr>
          </w:p>
          <w:p w14:paraId="358276D8" w14:textId="77777777" w:rsidR="005B3278" w:rsidRPr="0028474A" w:rsidRDefault="005B3278" w:rsidP="005B3278">
            <w:pPr>
              <w:spacing w:before="60" w:after="60" w:line="240" w:lineRule="auto"/>
              <w:rPr>
                <w:rFonts w:ascii="Arial" w:hAnsi="Arial" w:cs="Arial"/>
                <w:sz w:val="19"/>
                <w:szCs w:val="19"/>
              </w:rPr>
            </w:pPr>
          </w:p>
        </w:tc>
        <w:tc>
          <w:tcPr>
            <w:tcW w:w="9995" w:type="dxa"/>
            <w:gridSpan w:val="7"/>
            <w:tcBorders>
              <w:top w:val="double" w:sz="4" w:space="0" w:color="1D2952"/>
              <w:left w:val="nil"/>
              <w:bottom w:val="single" w:sz="18" w:space="0" w:color="1D2952"/>
              <w:right w:val="single" w:sz="18" w:space="0" w:color="1D2952"/>
            </w:tcBorders>
          </w:tcPr>
          <w:p w14:paraId="69160DFD" w14:textId="77777777" w:rsidR="005B3278" w:rsidRDefault="005B3278" w:rsidP="005B3278">
            <w:pPr>
              <w:spacing w:before="60" w:after="60" w:line="240" w:lineRule="auto"/>
              <w:jc w:val="both"/>
              <w:rPr>
                <w:rFonts w:ascii="Arial" w:hAnsi="Arial" w:cs="Arial"/>
                <w:sz w:val="19"/>
                <w:szCs w:val="19"/>
              </w:rPr>
            </w:pPr>
            <w:r w:rsidRPr="00084E0C">
              <w:rPr>
                <w:rFonts w:ascii="Arial" w:hAnsi="Arial" w:cs="Arial"/>
                <w:sz w:val="19"/>
                <w:szCs w:val="19"/>
              </w:rPr>
              <w:t>If the response to any of the foregoing questions is “</w:t>
            </w:r>
            <w:r w:rsidRPr="00234F8B">
              <w:rPr>
                <w:rFonts w:ascii="Arial" w:hAnsi="Arial" w:cs="Arial"/>
                <w:b/>
                <w:bCs/>
                <w:sz w:val="19"/>
                <w:szCs w:val="19"/>
              </w:rPr>
              <w:t>YES</w:t>
            </w:r>
            <w:r w:rsidRPr="00084E0C">
              <w:rPr>
                <w:rFonts w:ascii="Arial" w:hAnsi="Arial" w:cs="Arial"/>
                <w:sz w:val="19"/>
                <w:szCs w:val="19"/>
              </w:rPr>
              <w:t>”, provide full particulars:</w:t>
            </w:r>
          </w:p>
          <w:p w14:paraId="0E2394BB" w14:textId="77777777" w:rsidR="005B3278" w:rsidRPr="00F037F6" w:rsidRDefault="005B3278" w:rsidP="00AE70BC">
            <w:pPr>
              <w:spacing w:before="60" w:after="60" w:line="240" w:lineRule="auto"/>
              <w:rPr>
                <w:rFonts w:ascii="Arial" w:hAnsi="Arial" w:cs="Arial"/>
                <w:sz w:val="19"/>
                <w:szCs w:val="19"/>
              </w:rPr>
            </w:pPr>
            <w:r w:rsidRPr="00F037F6">
              <w:rPr>
                <w:rFonts w:ascii="Arial" w:hAnsi="Arial" w:cs="Arial"/>
                <w:sz w:val="19"/>
                <w:szCs w:val="19"/>
              </w:rPr>
              <w:br/>
            </w:r>
            <w:r w:rsidRPr="00F037F6">
              <w:rPr>
                <w:rFonts w:ascii="Arial" w:hAnsi="Arial" w:cs="Arial"/>
                <w:sz w:val="19"/>
                <w:szCs w:val="19"/>
              </w:rPr>
              <w:br/>
            </w:r>
          </w:p>
          <w:p w14:paraId="060D7A0B" w14:textId="77777777" w:rsidR="005B3278" w:rsidRPr="0028474A" w:rsidRDefault="005B3278" w:rsidP="00AE70BC">
            <w:pPr>
              <w:spacing w:before="60" w:after="60" w:line="240" w:lineRule="auto"/>
              <w:rPr>
                <w:rFonts w:ascii="Arial" w:hAnsi="Arial" w:cs="Arial"/>
                <w:sz w:val="19"/>
                <w:szCs w:val="19"/>
              </w:rPr>
            </w:pPr>
            <w:r w:rsidRPr="00F037F6">
              <w:rPr>
                <w:rFonts w:ascii="Arial" w:hAnsi="Arial" w:cs="Arial"/>
                <w:sz w:val="19"/>
                <w:szCs w:val="19"/>
              </w:rPr>
              <w:br/>
            </w:r>
          </w:p>
        </w:tc>
      </w:tr>
    </w:tbl>
    <w:p w14:paraId="47F8EC3C" w14:textId="77777777" w:rsidR="008412FB" w:rsidRPr="00AA61FB" w:rsidRDefault="008412FB" w:rsidP="008412FB"/>
    <w:p w14:paraId="4A819A40" w14:textId="77777777" w:rsidR="00084E0C" w:rsidRPr="00AA61FB" w:rsidRDefault="00084E0C" w:rsidP="00963FAC"/>
    <w:p w14:paraId="52C36299" w14:textId="77777777" w:rsidR="003D700C" w:rsidRPr="00AA61FB" w:rsidRDefault="003D700C" w:rsidP="00963FAC"/>
    <w:p w14:paraId="03CC789E" w14:textId="77777777" w:rsidR="00F424D2" w:rsidRPr="00AA61FB" w:rsidRDefault="00F424D2" w:rsidP="00963FAC"/>
    <w:p w14:paraId="553AA162" w14:textId="77777777" w:rsidR="00F424D2" w:rsidRPr="00AA61FB" w:rsidRDefault="00F424D2" w:rsidP="00963FAC"/>
    <w:p w14:paraId="5ECCBE0A" w14:textId="77777777" w:rsidR="00F424D2" w:rsidRPr="00AA61FB" w:rsidRDefault="00F424D2" w:rsidP="00963FAC"/>
    <w:p w14:paraId="6A530DF6" w14:textId="77777777" w:rsidR="00F424D2" w:rsidRPr="00AA61FB" w:rsidRDefault="00F424D2" w:rsidP="00963FAC"/>
    <w:p w14:paraId="60AB7E6B" w14:textId="77777777" w:rsidR="00F424D2" w:rsidRPr="00AA61FB" w:rsidRDefault="00F424D2" w:rsidP="00963FAC"/>
    <w:p w14:paraId="450606F5" w14:textId="77777777" w:rsidR="00F424D2" w:rsidRPr="00AA61FB" w:rsidRDefault="00F424D2" w:rsidP="00963FAC"/>
    <w:p w14:paraId="77CDDE15" w14:textId="77777777" w:rsidR="00F424D2" w:rsidRPr="00AA61FB" w:rsidRDefault="00F424D2" w:rsidP="00963FAC"/>
    <w:p w14:paraId="051CFB9D" w14:textId="77777777" w:rsidR="00F424D2" w:rsidRPr="00AA61FB" w:rsidRDefault="00F424D2" w:rsidP="00963FAC"/>
    <w:p w14:paraId="04774977" w14:textId="77777777" w:rsidR="00F424D2" w:rsidRPr="00AA61FB" w:rsidRDefault="00F424D2" w:rsidP="00963FAC"/>
    <w:p w14:paraId="0891F832" w14:textId="77777777" w:rsidR="00F424D2" w:rsidRPr="00AA61FB" w:rsidRDefault="00F424D2" w:rsidP="00963FAC"/>
    <w:p w14:paraId="768EF498" w14:textId="77777777" w:rsidR="00F424D2" w:rsidRPr="00AA61FB" w:rsidRDefault="00F424D2" w:rsidP="00963FAC"/>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3"/>
        <w:gridCol w:w="518"/>
        <w:gridCol w:w="307"/>
      </w:tblGrid>
      <w:tr w:rsidR="009F77AE" w:rsidRPr="008770F9" w14:paraId="7A9A2CE6" w14:textId="77777777" w:rsidTr="00C126A7">
        <w:trPr>
          <w:cantSplit/>
          <w:trHeight w:val="302"/>
        </w:trPr>
        <w:tc>
          <w:tcPr>
            <w:tcW w:w="9795"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69245E8A" w14:textId="77777777" w:rsidR="009F77AE" w:rsidRPr="008770F9" w:rsidRDefault="009F77AE" w:rsidP="000E76C6">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5"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334BB637" w14:textId="77777777" w:rsidR="009F77AE" w:rsidRPr="008770F9" w:rsidRDefault="009F77AE" w:rsidP="000E76C6">
            <w:pPr>
              <w:spacing w:before="60" w:after="60" w:line="240" w:lineRule="auto"/>
              <w:jc w:val="center"/>
              <w:rPr>
                <w:rFonts w:ascii="Arial Black" w:hAnsi="Arial Black" w:cs="Times New Roman"/>
                <w:b/>
                <w:caps/>
                <w:color w:val="FFFFFF" w:themeColor="background1"/>
                <w:sz w:val="19"/>
                <w:szCs w:val="19"/>
              </w:rPr>
            </w:pPr>
          </w:p>
        </w:tc>
      </w:tr>
      <w:tr w:rsidR="009F77AE" w:rsidRPr="009E039A" w14:paraId="6E570496" w14:textId="77777777" w:rsidTr="00C126A7">
        <w:trPr>
          <w:cantSplit/>
          <w:trHeight w:val="3760"/>
        </w:trPr>
        <w:tc>
          <w:tcPr>
            <w:tcW w:w="10620" w:type="dxa"/>
            <w:gridSpan w:val="6"/>
            <w:tcBorders>
              <w:top w:val="single" w:sz="4" w:space="0" w:color="auto"/>
              <w:left w:val="single" w:sz="18" w:space="0" w:color="1D2952"/>
              <w:right w:val="single" w:sz="18" w:space="0" w:color="1D2952"/>
            </w:tcBorders>
            <w:vAlign w:val="center"/>
          </w:tcPr>
          <w:p w14:paraId="07B97A5B" w14:textId="77777777" w:rsidR="009F77AE" w:rsidRPr="00CC755C" w:rsidRDefault="009F77AE" w:rsidP="000E76C6">
            <w:pPr>
              <w:spacing w:after="0" w:line="240" w:lineRule="auto"/>
              <w:jc w:val="both"/>
              <w:rPr>
                <w:rFonts w:ascii="Arial" w:eastAsia="Calibri" w:hAnsi="Arial" w:cs="Arial"/>
                <w:color w:val="000000"/>
                <w:sz w:val="19"/>
                <w:szCs w:val="19"/>
              </w:rPr>
            </w:pPr>
          </w:p>
          <w:p w14:paraId="71979FD7" w14:textId="77777777" w:rsidR="009F77AE" w:rsidRPr="00CC755C" w:rsidRDefault="009F77AE"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60DBF071" w14:textId="77777777" w:rsidR="009F77AE" w:rsidRPr="00CC755C" w:rsidRDefault="009F77AE"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70A40A45" w14:textId="77777777" w:rsidR="009F77AE" w:rsidRPr="00CC755C" w:rsidRDefault="009F77AE" w:rsidP="000E76C6">
            <w:pPr>
              <w:pStyle w:val="ListParagraph"/>
              <w:spacing w:before="60" w:after="60" w:line="240" w:lineRule="auto"/>
              <w:jc w:val="both"/>
              <w:rPr>
                <w:rFonts w:ascii="Arial" w:eastAsia="Calibri" w:hAnsi="Arial" w:cs="Arial"/>
                <w:color w:val="000000"/>
                <w:sz w:val="19"/>
                <w:szCs w:val="19"/>
              </w:rPr>
            </w:pPr>
          </w:p>
          <w:p w14:paraId="602AF67F" w14:textId="77777777" w:rsidR="009F77AE" w:rsidRPr="00CC755C" w:rsidRDefault="009F77AE"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6B3F42AC" w14:textId="77777777" w:rsidR="009F77AE" w:rsidRPr="00CC755C" w:rsidRDefault="009F77AE" w:rsidP="000E76C6">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___</w:t>
            </w:r>
            <w:r w:rsidRPr="00F037F6">
              <w:rPr>
                <w:rFonts w:ascii="Arial" w:eastAsia="Calibri" w:hAnsi="Arial" w:cs="Arial"/>
                <w:sz w:val="19"/>
                <w:szCs w:val="19"/>
              </w:rPr>
              <w:t>________________________________________________________________________________________</w:t>
            </w:r>
            <w:r w:rsidRPr="00F037F6">
              <w:rPr>
                <w:rFonts w:ascii="Arial" w:eastAsia="Calibri" w:hAnsi="Arial" w:cs="Arial"/>
                <w:sz w:val="19"/>
                <w:szCs w:val="19"/>
              </w:rPr>
              <w:br/>
            </w:r>
            <w:r w:rsidRPr="00F037F6">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74EDA6D5" w14:textId="77777777" w:rsidR="009F77AE" w:rsidRDefault="009F77AE"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5C263E60" w14:textId="77777777" w:rsidR="009F77AE" w:rsidRPr="00CC755C" w:rsidRDefault="009F77AE" w:rsidP="000E76C6">
            <w:pPr>
              <w:pStyle w:val="ListParagraph"/>
              <w:spacing w:before="60" w:after="60" w:line="240" w:lineRule="auto"/>
              <w:jc w:val="both"/>
              <w:rPr>
                <w:rFonts w:ascii="Arial" w:eastAsia="Calibri" w:hAnsi="Arial" w:cs="Arial"/>
                <w:color w:val="000000"/>
                <w:sz w:val="19"/>
                <w:szCs w:val="19"/>
              </w:rPr>
            </w:pPr>
          </w:p>
          <w:p w14:paraId="4233D299" w14:textId="77777777" w:rsidR="009F77AE" w:rsidRPr="00D82AF2" w:rsidRDefault="009F77AE"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59231CBC" w14:textId="77777777" w:rsidR="009F77AE" w:rsidRPr="00D82AF2" w:rsidRDefault="009F77AE" w:rsidP="000E76C6">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33123A61" w14:textId="77777777" w:rsidR="009F77AE" w:rsidRPr="00D82AF2" w:rsidRDefault="009F77AE" w:rsidP="000E76C6">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5D566C29" w14:textId="77777777" w:rsidR="009F77AE" w:rsidRPr="00D650D4" w:rsidRDefault="009F77AE" w:rsidP="000E76C6">
            <w:pPr>
              <w:numPr>
                <w:ilvl w:val="0"/>
                <w:numId w:val="5"/>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57804153" w14:textId="77777777" w:rsidR="009F77AE" w:rsidRPr="00D650D4" w:rsidRDefault="009F77AE" w:rsidP="000E76C6">
            <w:pPr>
              <w:spacing w:after="0" w:line="240" w:lineRule="auto"/>
              <w:jc w:val="both"/>
              <w:rPr>
                <w:rFonts w:ascii="Arial" w:hAnsi="Arial" w:cs="Arial"/>
                <w:sz w:val="19"/>
                <w:szCs w:val="19"/>
                <w:lang w:val="en-US"/>
              </w:rPr>
            </w:pPr>
          </w:p>
        </w:tc>
      </w:tr>
      <w:tr w:rsidR="009F77AE" w14:paraId="67994B6D" w14:textId="77777777" w:rsidTr="00C126A7">
        <w:trPr>
          <w:cantSplit/>
          <w:trHeight w:val="1357"/>
        </w:trPr>
        <w:tc>
          <w:tcPr>
            <w:tcW w:w="276" w:type="dxa"/>
            <w:tcBorders>
              <w:left w:val="single" w:sz="18" w:space="0" w:color="1D2952"/>
              <w:right w:val="nil"/>
            </w:tcBorders>
            <w:vAlign w:val="center"/>
          </w:tcPr>
          <w:p w14:paraId="1B57DCDD" w14:textId="77777777" w:rsidR="009F77AE" w:rsidRDefault="009F77AE"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14C0D331" w14:textId="77777777" w:rsidR="009F77AE" w:rsidRPr="00F037F6" w:rsidRDefault="009F77AE"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4472CE86" w14:textId="77777777" w:rsidR="009F77AE" w:rsidRPr="00F037F6" w:rsidRDefault="009F77AE"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0369CEB7" w14:textId="77777777" w:rsidR="009F77AE" w:rsidRPr="00F037F6" w:rsidRDefault="009F77AE"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0D2BE267" w14:textId="77777777" w:rsidR="009F77AE" w:rsidRDefault="009F77AE" w:rsidP="000E76C6">
            <w:pPr>
              <w:spacing w:after="0" w:line="240" w:lineRule="auto"/>
              <w:jc w:val="both"/>
              <w:rPr>
                <w:rFonts w:ascii="Arial" w:hAnsi="Arial" w:cs="Arial"/>
                <w:sz w:val="19"/>
                <w:szCs w:val="19"/>
              </w:rPr>
            </w:pPr>
          </w:p>
        </w:tc>
      </w:tr>
      <w:tr w:rsidR="009F77AE" w:rsidRPr="00B107CC" w14:paraId="3343072A" w14:textId="77777777" w:rsidTr="00C126A7">
        <w:trPr>
          <w:cantSplit/>
          <w:trHeight w:val="457"/>
        </w:trPr>
        <w:tc>
          <w:tcPr>
            <w:tcW w:w="276" w:type="dxa"/>
            <w:tcBorders>
              <w:left w:val="single" w:sz="18" w:space="0" w:color="1D2952"/>
              <w:right w:val="nil"/>
            </w:tcBorders>
            <w:vAlign w:val="center"/>
          </w:tcPr>
          <w:p w14:paraId="7EEF95C5" w14:textId="77777777" w:rsidR="009F77AE" w:rsidRDefault="009F77AE"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4851AC77" w14:textId="77777777" w:rsidR="009F77AE" w:rsidRPr="00F037F6" w:rsidRDefault="009F77AE" w:rsidP="000E76C6">
            <w:pPr>
              <w:keepNext/>
              <w:spacing w:after="20" w:line="240" w:lineRule="auto"/>
              <w:rPr>
                <w:rFonts w:ascii="Arial" w:hAnsi="Arial" w:cs="Arial"/>
                <w:b/>
                <w:sz w:val="19"/>
                <w:szCs w:val="19"/>
              </w:rPr>
            </w:pPr>
            <w:r w:rsidRPr="00F037F6">
              <w:rPr>
                <w:rFonts w:ascii="Arial" w:hAnsi="Arial" w:cs="Arial"/>
                <w:b/>
                <w:sz w:val="19"/>
                <w:szCs w:val="19"/>
              </w:rPr>
              <w:t>Signature of Authorized Person</w:t>
            </w:r>
          </w:p>
        </w:tc>
        <w:tc>
          <w:tcPr>
            <w:tcW w:w="1825" w:type="dxa"/>
            <w:tcBorders>
              <w:left w:val="nil"/>
              <w:right w:val="nil"/>
            </w:tcBorders>
            <w:vAlign w:val="center"/>
          </w:tcPr>
          <w:p w14:paraId="00521B7D" w14:textId="77777777" w:rsidR="009F77AE" w:rsidRPr="00F037F6" w:rsidRDefault="009F77AE"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68F53E1C" w14:textId="77777777" w:rsidR="009F77AE" w:rsidRPr="00F037F6" w:rsidRDefault="009F77AE" w:rsidP="000E76C6">
            <w:pPr>
              <w:keepNext/>
              <w:spacing w:after="20" w:line="240" w:lineRule="auto"/>
              <w:rPr>
                <w:rFonts w:ascii="Arial" w:hAnsi="Arial" w:cs="Arial"/>
                <w:b/>
                <w:sz w:val="19"/>
                <w:szCs w:val="19"/>
              </w:rPr>
            </w:pPr>
            <w:r w:rsidRPr="00F037F6">
              <w:rPr>
                <w:rFonts w:ascii="Arial" w:hAnsi="Arial" w:cs="Arial"/>
                <w:b/>
                <w:sz w:val="19"/>
                <w:szCs w:val="19"/>
              </w:rPr>
              <w:t>Date</w:t>
            </w:r>
          </w:p>
        </w:tc>
        <w:tc>
          <w:tcPr>
            <w:tcW w:w="307" w:type="dxa"/>
            <w:tcBorders>
              <w:left w:val="nil"/>
              <w:right w:val="single" w:sz="18" w:space="0" w:color="1D2952"/>
            </w:tcBorders>
            <w:vAlign w:val="center"/>
          </w:tcPr>
          <w:p w14:paraId="235C9EC1" w14:textId="77777777" w:rsidR="009F77AE" w:rsidRPr="00B107CC" w:rsidRDefault="009F77AE" w:rsidP="000E76C6">
            <w:pPr>
              <w:keepNext/>
              <w:spacing w:after="20" w:line="240" w:lineRule="auto"/>
              <w:rPr>
                <w:rFonts w:ascii="Arial" w:hAnsi="Arial" w:cs="Arial"/>
                <w:b/>
                <w:sz w:val="19"/>
                <w:szCs w:val="19"/>
              </w:rPr>
            </w:pPr>
          </w:p>
        </w:tc>
      </w:tr>
      <w:tr w:rsidR="009F77AE" w:rsidRPr="009E039A" w14:paraId="7610073B" w14:textId="77777777" w:rsidTr="00C126A7">
        <w:trPr>
          <w:cantSplit/>
          <w:trHeight w:val="457"/>
        </w:trPr>
        <w:tc>
          <w:tcPr>
            <w:tcW w:w="276" w:type="dxa"/>
            <w:tcBorders>
              <w:left w:val="single" w:sz="18" w:space="0" w:color="1D2952"/>
              <w:right w:val="nil"/>
            </w:tcBorders>
            <w:vAlign w:val="center"/>
          </w:tcPr>
          <w:p w14:paraId="2D76A0D0" w14:textId="77777777" w:rsidR="009F77AE" w:rsidRDefault="009F77AE"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3B041B23" w14:textId="77777777" w:rsidR="009F77AE" w:rsidRPr="00F037F6" w:rsidRDefault="009F77AE"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2791E3CF" w14:textId="77777777" w:rsidR="009F77AE" w:rsidRPr="00F037F6" w:rsidRDefault="009F77AE"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22DD4ABA" w14:textId="77777777" w:rsidR="009F77AE" w:rsidRPr="00F037F6" w:rsidRDefault="009F77AE"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1E8882D6" w14:textId="77777777" w:rsidR="009F77AE" w:rsidRPr="00E27859" w:rsidRDefault="009F77AE" w:rsidP="000E76C6">
            <w:pPr>
              <w:keepNext/>
              <w:spacing w:after="20" w:line="240" w:lineRule="auto"/>
              <w:rPr>
                <w:rFonts w:ascii="Arial" w:hAnsi="Arial" w:cs="Arial"/>
                <w:b/>
                <w:sz w:val="19"/>
                <w:szCs w:val="19"/>
              </w:rPr>
            </w:pPr>
          </w:p>
        </w:tc>
      </w:tr>
      <w:tr w:rsidR="009F77AE" w:rsidRPr="009E039A" w14:paraId="63287C7B" w14:textId="77777777" w:rsidTr="00C126A7">
        <w:trPr>
          <w:cantSplit/>
          <w:trHeight w:val="457"/>
        </w:trPr>
        <w:tc>
          <w:tcPr>
            <w:tcW w:w="276" w:type="dxa"/>
            <w:tcBorders>
              <w:left w:val="single" w:sz="18" w:space="0" w:color="1D2952"/>
              <w:right w:val="nil"/>
            </w:tcBorders>
            <w:vAlign w:val="center"/>
          </w:tcPr>
          <w:p w14:paraId="5FF26B2D" w14:textId="77777777" w:rsidR="009F77AE" w:rsidRDefault="009F77AE"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72068A37" w14:textId="77777777" w:rsidR="009F77AE" w:rsidRPr="00F037F6" w:rsidRDefault="009F77AE" w:rsidP="000E76C6">
            <w:pPr>
              <w:keepNext/>
              <w:spacing w:after="20" w:line="240" w:lineRule="auto"/>
              <w:rPr>
                <w:rFonts w:ascii="Arial" w:hAnsi="Arial" w:cs="Arial"/>
                <w:b/>
                <w:sz w:val="19"/>
                <w:szCs w:val="19"/>
              </w:rPr>
            </w:pPr>
            <w:r w:rsidRPr="00F037F6">
              <w:rPr>
                <w:rFonts w:ascii="Arial" w:hAnsi="Arial" w:cs="Arial"/>
                <w:b/>
                <w:sz w:val="19"/>
                <w:szCs w:val="19"/>
              </w:rPr>
              <w:t>Name:</w:t>
            </w:r>
          </w:p>
        </w:tc>
        <w:tc>
          <w:tcPr>
            <w:tcW w:w="1825" w:type="dxa"/>
            <w:tcBorders>
              <w:left w:val="nil"/>
              <w:right w:val="nil"/>
            </w:tcBorders>
            <w:vAlign w:val="center"/>
          </w:tcPr>
          <w:p w14:paraId="7FF15D42" w14:textId="77777777" w:rsidR="009F77AE" w:rsidRPr="00F037F6" w:rsidRDefault="009F77AE"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6993A1CA" w14:textId="77777777" w:rsidR="009F77AE" w:rsidRPr="00F037F6" w:rsidRDefault="009F77AE"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5FB2A31D" w14:textId="77777777" w:rsidR="009F77AE" w:rsidRPr="00E27859" w:rsidRDefault="009F77AE" w:rsidP="000E76C6">
            <w:pPr>
              <w:keepNext/>
              <w:spacing w:after="20" w:line="240" w:lineRule="auto"/>
              <w:rPr>
                <w:rFonts w:ascii="Arial" w:hAnsi="Arial" w:cs="Arial"/>
                <w:b/>
                <w:sz w:val="19"/>
                <w:szCs w:val="19"/>
              </w:rPr>
            </w:pPr>
          </w:p>
        </w:tc>
      </w:tr>
      <w:tr w:rsidR="009F77AE" w:rsidRPr="009E039A" w14:paraId="08F479C1" w14:textId="77777777" w:rsidTr="00C126A7">
        <w:trPr>
          <w:cantSplit/>
          <w:trHeight w:val="457"/>
        </w:trPr>
        <w:tc>
          <w:tcPr>
            <w:tcW w:w="276" w:type="dxa"/>
            <w:tcBorders>
              <w:left w:val="single" w:sz="18" w:space="0" w:color="1D2952"/>
              <w:right w:val="nil"/>
            </w:tcBorders>
            <w:vAlign w:val="center"/>
          </w:tcPr>
          <w:p w14:paraId="233C5892" w14:textId="77777777" w:rsidR="009F77AE" w:rsidRDefault="009F77AE"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5D1EA35E" w14:textId="77777777" w:rsidR="009F77AE" w:rsidRPr="00F037F6" w:rsidRDefault="009F77AE" w:rsidP="000E76C6">
            <w:pPr>
              <w:keepNext/>
              <w:spacing w:after="20" w:line="240" w:lineRule="auto"/>
              <w:rPr>
                <w:rFonts w:ascii="Arial" w:hAnsi="Arial" w:cs="Arial"/>
                <w:b/>
                <w:sz w:val="19"/>
                <w:szCs w:val="19"/>
              </w:rPr>
            </w:pPr>
            <w:r w:rsidRPr="00F037F6">
              <w:rPr>
                <w:rFonts w:ascii="Arial" w:hAnsi="Arial" w:cs="Arial"/>
                <w:b/>
                <w:sz w:val="19"/>
                <w:szCs w:val="19"/>
              </w:rPr>
              <w:t>Position:</w:t>
            </w:r>
          </w:p>
        </w:tc>
        <w:tc>
          <w:tcPr>
            <w:tcW w:w="1825" w:type="dxa"/>
            <w:tcBorders>
              <w:left w:val="nil"/>
              <w:right w:val="nil"/>
            </w:tcBorders>
            <w:vAlign w:val="center"/>
          </w:tcPr>
          <w:p w14:paraId="7B6E2E2D" w14:textId="77777777" w:rsidR="009F77AE" w:rsidRPr="00F037F6" w:rsidRDefault="009F77AE"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4CEE7D2B" w14:textId="77777777" w:rsidR="009F77AE" w:rsidRPr="00F037F6" w:rsidRDefault="009F77AE"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7444A82B" w14:textId="77777777" w:rsidR="009F77AE" w:rsidRPr="00E27859" w:rsidRDefault="009F77AE" w:rsidP="000E76C6">
            <w:pPr>
              <w:keepNext/>
              <w:spacing w:after="20" w:line="240" w:lineRule="auto"/>
              <w:rPr>
                <w:rFonts w:ascii="Arial" w:hAnsi="Arial" w:cs="Arial"/>
                <w:b/>
                <w:sz w:val="19"/>
                <w:szCs w:val="19"/>
              </w:rPr>
            </w:pPr>
          </w:p>
        </w:tc>
      </w:tr>
      <w:tr w:rsidR="009F77AE" w:rsidRPr="009E039A" w14:paraId="214B8D67" w14:textId="77777777" w:rsidTr="00C126A7">
        <w:trPr>
          <w:cantSplit/>
          <w:trHeight w:val="457"/>
        </w:trPr>
        <w:tc>
          <w:tcPr>
            <w:tcW w:w="276" w:type="dxa"/>
            <w:tcBorders>
              <w:left w:val="single" w:sz="18" w:space="0" w:color="1D2952"/>
              <w:bottom w:val="single" w:sz="18" w:space="0" w:color="1D2952"/>
              <w:right w:val="nil"/>
            </w:tcBorders>
            <w:vAlign w:val="center"/>
          </w:tcPr>
          <w:p w14:paraId="25EF859B" w14:textId="77777777" w:rsidR="009F77AE" w:rsidRDefault="009F77AE"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70E55064" w14:textId="77777777" w:rsidR="009F77AE" w:rsidRPr="00F037F6" w:rsidRDefault="009F77AE"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2849F84D" w14:textId="77777777" w:rsidR="009F77AE" w:rsidRPr="00F037F6" w:rsidRDefault="009F77AE"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38C77212" w14:textId="77777777" w:rsidR="009F77AE" w:rsidRPr="00F037F6" w:rsidRDefault="009F77AE"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566FFD0C" w14:textId="77777777" w:rsidR="009F77AE" w:rsidRPr="00E27859" w:rsidRDefault="009F77AE" w:rsidP="000E76C6">
            <w:pPr>
              <w:keepNext/>
              <w:spacing w:after="20" w:line="240" w:lineRule="auto"/>
              <w:rPr>
                <w:rFonts w:ascii="Arial" w:hAnsi="Arial" w:cs="Arial"/>
                <w:b/>
                <w:sz w:val="19"/>
                <w:szCs w:val="19"/>
              </w:rPr>
            </w:pPr>
          </w:p>
        </w:tc>
      </w:tr>
    </w:tbl>
    <w:p w14:paraId="1D5B5266" w14:textId="77777777" w:rsidR="00963FAC" w:rsidRDefault="00963FAC" w:rsidP="00963FAC"/>
    <w:sectPr w:rsidR="00963FAC" w:rsidSect="00963FAC">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E013" w14:textId="77777777" w:rsidR="00FA1F66" w:rsidRDefault="00FA1F66" w:rsidP="00963FAC">
      <w:pPr>
        <w:spacing w:after="0" w:line="240" w:lineRule="auto"/>
      </w:pPr>
      <w:r>
        <w:separator/>
      </w:r>
    </w:p>
  </w:endnote>
  <w:endnote w:type="continuationSeparator" w:id="0">
    <w:p w14:paraId="3CFDCFBB" w14:textId="77777777" w:rsidR="00FA1F66" w:rsidRDefault="00FA1F66" w:rsidP="0096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4239" w14:textId="77777777" w:rsidR="00FA1F66" w:rsidRDefault="00FA1F66" w:rsidP="00963FAC">
      <w:pPr>
        <w:spacing w:after="0" w:line="240" w:lineRule="auto"/>
      </w:pPr>
      <w:r>
        <w:separator/>
      </w:r>
    </w:p>
  </w:footnote>
  <w:footnote w:type="continuationSeparator" w:id="0">
    <w:p w14:paraId="3F62953F" w14:textId="77777777" w:rsidR="00FA1F66" w:rsidRDefault="00FA1F66" w:rsidP="00963FAC">
      <w:pPr>
        <w:spacing w:after="0" w:line="240" w:lineRule="auto"/>
      </w:pPr>
      <w:r>
        <w:continuationSeparator/>
      </w:r>
    </w:p>
  </w:footnote>
  <w:footnote w:id="1">
    <w:p w14:paraId="6D4442FF" w14:textId="66A1E530" w:rsidR="00D7081C" w:rsidRPr="00546981" w:rsidRDefault="00D7081C" w:rsidP="00546981">
      <w:pPr>
        <w:pStyle w:val="FootnoteText"/>
        <w:ind w:left="-426" w:right="-705" w:hanging="142"/>
        <w:jc w:val="both"/>
        <w:rPr>
          <w:rFonts w:ascii="Arial" w:hAnsi="Arial" w:cs="Arial"/>
          <w:sz w:val="17"/>
          <w:szCs w:val="17"/>
          <w:lang w:val="en-US"/>
        </w:rPr>
      </w:pPr>
      <w:r w:rsidRPr="00546981">
        <w:rPr>
          <w:rStyle w:val="FootnoteReference"/>
          <w:rFonts w:ascii="Arial" w:hAnsi="Arial" w:cs="Arial"/>
          <w:sz w:val="17"/>
          <w:szCs w:val="17"/>
        </w:rPr>
        <w:footnoteRef/>
      </w:r>
      <w:r w:rsidRPr="00546981">
        <w:rPr>
          <w:rFonts w:ascii="Arial" w:hAnsi="Arial" w:cs="Arial"/>
          <w:sz w:val="17"/>
          <w:szCs w:val="17"/>
        </w:rPr>
        <w:t xml:space="preserve"> The numerator should be equal to all Listed Securities (and voting securities, if different than Listed Securities) issuable in connection with the take-over bid, including securities issuable upon exercise or conversion of exercisable or convertible securities issued in connection with the take-over bid; the denominator should be equal the number of Listed Securities (or voting securities) issued and outstanding prior to the</w:t>
      </w:r>
      <w:r w:rsidR="00B47485" w:rsidRPr="00546981">
        <w:rPr>
          <w:rFonts w:ascii="Arial" w:hAnsi="Arial" w:cs="Arial"/>
          <w:sz w:val="17"/>
          <w:szCs w:val="17"/>
        </w:rPr>
        <w:t xml:space="preserve"> </w:t>
      </w:r>
      <w:r w:rsidRPr="00546981">
        <w:rPr>
          <w:rFonts w:ascii="Arial" w:hAnsi="Arial" w:cs="Arial"/>
          <w:sz w:val="17"/>
          <w:szCs w:val="17"/>
        </w:rPr>
        <w:t>completion of the take-over bid (i.e. on a non-diluted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EF8" w14:textId="6BAE28F4" w:rsidR="00C44E06" w:rsidRPr="00166196" w:rsidRDefault="00D340EE" w:rsidP="00C44E0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963FAC" w:rsidRPr="00166196">
      <w:rPr>
        <w:rFonts w:ascii="Arial Black" w:hAnsi="Arial Black"/>
        <w:color w:val="1D2952"/>
        <w:sz w:val="16"/>
        <w:szCs w:val="16"/>
      </w:rPr>
      <w:t>FORM</w:t>
    </w:r>
    <w:r w:rsidR="00C44E06">
      <w:rPr>
        <w:rFonts w:ascii="Arial Black" w:hAnsi="Arial Black"/>
        <w:color w:val="1D2952"/>
        <w:sz w:val="16"/>
        <w:szCs w:val="16"/>
      </w:rPr>
      <w:t xml:space="preserve"> </w:t>
    </w:r>
    <w:r w:rsidR="0050601E">
      <w:rPr>
        <w:rFonts w:ascii="Arial Black" w:hAnsi="Arial Black"/>
        <w:color w:val="1D2952"/>
        <w:sz w:val="16"/>
        <w:szCs w:val="16"/>
      </w:rPr>
      <w:t>13</w:t>
    </w:r>
    <w:r w:rsidR="00963FAC">
      <w:rPr>
        <w:rFonts w:ascii="Arial Black" w:hAnsi="Arial Black"/>
        <w:color w:val="1D2952"/>
        <w:sz w:val="16"/>
        <w:szCs w:val="16"/>
      </w:rPr>
      <w:tab/>
    </w:r>
    <w:r w:rsidR="00963FAC">
      <w:rPr>
        <w:rFonts w:ascii="Arial Black" w:hAnsi="Arial Black"/>
        <w:color w:val="1D2952"/>
        <w:sz w:val="16"/>
        <w:szCs w:val="16"/>
      </w:rPr>
      <w:tab/>
      <w:t>Cboe CANADA INC.</w:t>
    </w:r>
    <w:r w:rsidR="00963FAC" w:rsidRPr="00166196">
      <w:rPr>
        <w:rFonts w:ascii="Arial Black" w:hAnsi="Arial Black"/>
        <w:color w:val="1D2952"/>
        <w:sz w:val="16"/>
        <w:szCs w:val="16"/>
      </w:rPr>
      <w:br/>
    </w:r>
    <w:r>
      <w:rPr>
        <w:rFonts w:ascii="Arial Black" w:hAnsi="Arial Black"/>
        <w:color w:val="1D2952"/>
        <w:sz w:val="16"/>
        <w:szCs w:val="16"/>
      </w:rPr>
      <w:t xml:space="preserve"> </w:t>
    </w:r>
    <w:r w:rsidR="00C44E06">
      <w:rPr>
        <w:rFonts w:ascii="Arial Black" w:hAnsi="Arial Black"/>
        <w:color w:val="1D2952"/>
        <w:sz w:val="16"/>
        <w:szCs w:val="16"/>
      </w:rPr>
      <w:t xml:space="preserve">NOTICE OF </w:t>
    </w:r>
    <w:r w:rsidR="0050601E" w:rsidRPr="0050601E">
      <w:rPr>
        <w:rFonts w:ascii="Arial Black" w:hAnsi="Arial Black"/>
        <w:color w:val="1D2952"/>
        <w:sz w:val="16"/>
        <w:szCs w:val="16"/>
      </w:rPr>
      <w:t>TAKE-OVER BID</w:t>
    </w:r>
  </w:p>
  <w:p w14:paraId="783347ED" w14:textId="77777777" w:rsidR="00963FAC" w:rsidRDefault="00963FAC" w:rsidP="00C67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9264"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48A412A"/>
    <w:multiLevelType w:val="hybridMultilevel"/>
    <w:tmpl w:val="E75A1BE6"/>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4"/>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14AB2"/>
    <w:rsid w:val="00016B3E"/>
    <w:rsid w:val="00024B02"/>
    <w:rsid w:val="0002528A"/>
    <w:rsid w:val="00060122"/>
    <w:rsid w:val="0006016D"/>
    <w:rsid w:val="000646CF"/>
    <w:rsid w:val="00080ED6"/>
    <w:rsid w:val="00084E0C"/>
    <w:rsid w:val="000B052E"/>
    <w:rsid w:val="000C1E1E"/>
    <w:rsid w:val="000D163F"/>
    <w:rsid w:val="000E01AA"/>
    <w:rsid w:val="000E5BD7"/>
    <w:rsid w:val="000F06E5"/>
    <w:rsid w:val="000F0AFC"/>
    <w:rsid w:val="001077F2"/>
    <w:rsid w:val="00120497"/>
    <w:rsid w:val="00140EEB"/>
    <w:rsid w:val="001653FC"/>
    <w:rsid w:val="0019447B"/>
    <w:rsid w:val="001A5111"/>
    <w:rsid w:val="001B2E7B"/>
    <w:rsid w:val="001B4E3E"/>
    <w:rsid w:val="001C62FA"/>
    <w:rsid w:val="001C7EEE"/>
    <w:rsid w:val="001E0420"/>
    <w:rsid w:val="001F6107"/>
    <w:rsid w:val="001F6773"/>
    <w:rsid w:val="001F67B3"/>
    <w:rsid w:val="00211ADC"/>
    <w:rsid w:val="00214CC9"/>
    <w:rsid w:val="00217C49"/>
    <w:rsid w:val="002225DB"/>
    <w:rsid w:val="00224A4D"/>
    <w:rsid w:val="00260052"/>
    <w:rsid w:val="00260391"/>
    <w:rsid w:val="00273F48"/>
    <w:rsid w:val="0028474A"/>
    <w:rsid w:val="002D70E3"/>
    <w:rsid w:val="002E2ADE"/>
    <w:rsid w:val="002E4668"/>
    <w:rsid w:val="002F334C"/>
    <w:rsid w:val="003115C5"/>
    <w:rsid w:val="00317823"/>
    <w:rsid w:val="00322E0B"/>
    <w:rsid w:val="0033515E"/>
    <w:rsid w:val="003474E5"/>
    <w:rsid w:val="003A5D7F"/>
    <w:rsid w:val="003A6DCC"/>
    <w:rsid w:val="003C24C7"/>
    <w:rsid w:val="003D1AA5"/>
    <w:rsid w:val="003D700C"/>
    <w:rsid w:val="003E34EF"/>
    <w:rsid w:val="003E4181"/>
    <w:rsid w:val="003F4C01"/>
    <w:rsid w:val="00403319"/>
    <w:rsid w:val="00410E27"/>
    <w:rsid w:val="00422E3B"/>
    <w:rsid w:val="0045704B"/>
    <w:rsid w:val="004705E4"/>
    <w:rsid w:val="00483794"/>
    <w:rsid w:val="00484E72"/>
    <w:rsid w:val="004B18F7"/>
    <w:rsid w:val="004C096C"/>
    <w:rsid w:val="004C2497"/>
    <w:rsid w:val="004D0270"/>
    <w:rsid w:val="004F78FF"/>
    <w:rsid w:val="0050297F"/>
    <w:rsid w:val="0050601E"/>
    <w:rsid w:val="00507365"/>
    <w:rsid w:val="00517A17"/>
    <w:rsid w:val="00546981"/>
    <w:rsid w:val="00552387"/>
    <w:rsid w:val="00581C56"/>
    <w:rsid w:val="00583671"/>
    <w:rsid w:val="00587B1B"/>
    <w:rsid w:val="005A3367"/>
    <w:rsid w:val="005B3278"/>
    <w:rsid w:val="005C56AB"/>
    <w:rsid w:val="005D206B"/>
    <w:rsid w:val="005D5BC1"/>
    <w:rsid w:val="005E3779"/>
    <w:rsid w:val="00600502"/>
    <w:rsid w:val="00607412"/>
    <w:rsid w:val="006423B5"/>
    <w:rsid w:val="00651023"/>
    <w:rsid w:val="00676121"/>
    <w:rsid w:val="00680C58"/>
    <w:rsid w:val="006B2B89"/>
    <w:rsid w:val="006B3939"/>
    <w:rsid w:val="006B506C"/>
    <w:rsid w:val="006C229D"/>
    <w:rsid w:val="006D293E"/>
    <w:rsid w:val="006D5058"/>
    <w:rsid w:val="006E062C"/>
    <w:rsid w:val="006E1351"/>
    <w:rsid w:val="00713D27"/>
    <w:rsid w:val="00720726"/>
    <w:rsid w:val="0072501E"/>
    <w:rsid w:val="00727A76"/>
    <w:rsid w:val="00736BCC"/>
    <w:rsid w:val="00736C17"/>
    <w:rsid w:val="007404A1"/>
    <w:rsid w:val="0074533E"/>
    <w:rsid w:val="00754985"/>
    <w:rsid w:val="00775A28"/>
    <w:rsid w:val="007829D1"/>
    <w:rsid w:val="007B633A"/>
    <w:rsid w:val="007B780B"/>
    <w:rsid w:val="007C189C"/>
    <w:rsid w:val="007D3327"/>
    <w:rsid w:val="007E513F"/>
    <w:rsid w:val="00804489"/>
    <w:rsid w:val="00825DF7"/>
    <w:rsid w:val="00831A8E"/>
    <w:rsid w:val="008412FB"/>
    <w:rsid w:val="00875741"/>
    <w:rsid w:val="00877AA2"/>
    <w:rsid w:val="0088397B"/>
    <w:rsid w:val="00887463"/>
    <w:rsid w:val="0089171E"/>
    <w:rsid w:val="00895B58"/>
    <w:rsid w:val="00897070"/>
    <w:rsid w:val="008D355B"/>
    <w:rsid w:val="008E2D5D"/>
    <w:rsid w:val="0090236D"/>
    <w:rsid w:val="00923460"/>
    <w:rsid w:val="00933E00"/>
    <w:rsid w:val="00963FAC"/>
    <w:rsid w:val="00983EFE"/>
    <w:rsid w:val="009A5264"/>
    <w:rsid w:val="009A5FD3"/>
    <w:rsid w:val="009C1789"/>
    <w:rsid w:val="009C2493"/>
    <w:rsid w:val="009C6B49"/>
    <w:rsid w:val="009C7F9C"/>
    <w:rsid w:val="009D171B"/>
    <w:rsid w:val="009D20BA"/>
    <w:rsid w:val="009D5625"/>
    <w:rsid w:val="009F77AE"/>
    <w:rsid w:val="00A0524B"/>
    <w:rsid w:val="00A05338"/>
    <w:rsid w:val="00A43E50"/>
    <w:rsid w:val="00A475F2"/>
    <w:rsid w:val="00A51A53"/>
    <w:rsid w:val="00A616AE"/>
    <w:rsid w:val="00A67422"/>
    <w:rsid w:val="00A754DA"/>
    <w:rsid w:val="00A82744"/>
    <w:rsid w:val="00A91DB6"/>
    <w:rsid w:val="00AA51F4"/>
    <w:rsid w:val="00AA61FB"/>
    <w:rsid w:val="00AB4207"/>
    <w:rsid w:val="00AD3C6A"/>
    <w:rsid w:val="00AE70BC"/>
    <w:rsid w:val="00B32203"/>
    <w:rsid w:val="00B4307C"/>
    <w:rsid w:val="00B47485"/>
    <w:rsid w:val="00B55C02"/>
    <w:rsid w:val="00B56BC1"/>
    <w:rsid w:val="00B609EF"/>
    <w:rsid w:val="00B64E96"/>
    <w:rsid w:val="00B72B73"/>
    <w:rsid w:val="00B860C9"/>
    <w:rsid w:val="00BA20BC"/>
    <w:rsid w:val="00BD4F0A"/>
    <w:rsid w:val="00BE1EE1"/>
    <w:rsid w:val="00C126A7"/>
    <w:rsid w:val="00C12F34"/>
    <w:rsid w:val="00C15BEC"/>
    <w:rsid w:val="00C44E06"/>
    <w:rsid w:val="00C54B1E"/>
    <w:rsid w:val="00C67F4B"/>
    <w:rsid w:val="00C91670"/>
    <w:rsid w:val="00CB3783"/>
    <w:rsid w:val="00CC4074"/>
    <w:rsid w:val="00CC7374"/>
    <w:rsid w:val="00CC755C"/>
    <w:rsid w:val="00CE0C91"/>
    <w:rsid w:val="00CF4C02"/>
    <w:rsid w:val="00D2663D"/>
    <w:rsid w:val="00D340EE"/>
    <w:rsid w:val="00D46813"/>
    <w:rsid w:val="00D646BF"/>
    <w:rsid w:val="00D677AC"/>
    <w:rsid w:val="00D7081C"/>
    <w:rsid w:val="00D7740D"/>
    <w:rsid w:val="00D9317D"/>
    <w:rsid w:val="00DE016B"/>
    <w:rsid w:val="00DE48AA"/>
    <w:rsid w:val="00DE5F82"/>
    <w:rsid w:val="00DF4433"/>
    <w:rsid w:val="00DF4E99"/>
    <w:rsid w:val="00E10678"/>
    <w:rsid w:val="00E323AF"/>
    <w:rsid w:val="00E83881"/>
    <w:rsid w:val="00EA7405"/>
    <w:rsid w:val="00ED0E40"/>
    <w:rsid w:val="00ED4AB5"/>
    <w:rsid w:val="00ED4C58"/>
    <w:rsid w:val="00EE5B68"/>
    <w:rsid w:val="00EF3632"/>
    <w:rsid w:val="00EF4879"/>
    <w:rsid w:val="00F037F6"/>
    <w:rsid w:val="00F13857"/>
    <w:rsid w:val="00F202C8"/>
    <w:rsid w:val="00F424D2"/>
    <w:rsid w:val="00F42FA7"/>
    <w:rsid w:val="00F47C8F"/>
    <w:rsid w:val="00F51B79"/>
    <w:rsid w:val="00F5641B"/>
    <w:rsid w:val="00F714CA"/>
    <w:rsid w:val="00F907AF"/>
    <w:rsid w:val="00FA1F66"/>
    <w:rsid w:val="00FA25C9"/>
    <w:rsid w:val="00FA4A8B"/>
    <w:rsid w:val="00FA6C00"/>
    <w:rsid w:val="00FA7943"/>
    <w:rsid w:val="00FC55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Revision">
    <w:name w:val="Revision"/>
    <w:hidden/>
    <w:uiPriority w:val="99"/>
    <w:semiHidden/>
    <w:rsid w:val="00775A28"/>
    <w:pPr>
      <w:spacing w:after="0" w:line="240" w:lineRule="auto"/>
    </w:pPr>
  </w:style>
  <w:style w:type="table" w:styleId="TableGrid">
    <w:name w:val="Table Grid"/>
    <w:basedOn w:val="TableNormal"/>
    <w:uiPriority w:val="59"/>
    <w:rsid w:val="00A91D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B052E"/>
    <w:rPr>
      <w:vertAlign w:val="superscript"/>
    </w:rPr>
  </w:style>
  <w:style w:type="paragraph" w:styleId="FootnoteText">
    <w:name w:val="footnote text"/>
    <w:basedOn w:val="Normal"/>
    <w:link w:val="FootnoteTextChar"/>
    <w:uiPriority w:val="99"/>
    <w:semiHidden/>
    <w:unhideWhenUsed/>
    <w:rsid w:val="000B0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5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320498949">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SharedWithUsers xmlns="5525f50c-7659-4001-beae-7eaf01defd26">
      <UserInfo>
        <DisplayName/>
        <AccountId xsi:nil="true"/>
        <AccountType/>
      </UserInfo>
    </SharedWithUsers>
  </documentManagement>
</p:properties>
</file>

<file path=customXml/itemProps1.xml><?xml version="1.0" encoding="utf-8"?>
<ds:datastoreItem xmlns:ds="http://schemas.openxmlformats.org/officeDocument/2006/customXml" ds:itemID="{B55DE073-DDB5-4AFD-9215-AC77FF48094E}">
  <ds:schemaRefs>
    <ds:schemaRef ds:uri="http://schemas.openxmlformats.org/officeDocument/2006/bibliography"/>
  </ds:schemaRefs>
</ds:datastoreItem>
</file>

<file path=customXml/itemProps2.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3.xml><?xml version="1.0" encoding="utf-8"?>
<ds:datastoreItem xmlns:ds="http://schemas.openxmlformats.org/officeDocument/2006/customXml" ds:itemID="{0171ED71-34B8-47E2-869E-C7FC1FD73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20</cp:revision>
  <cp:lastPrinted>2023-12-25T20:34:00Z</cp:lastPrinted>
  <dcterms:created xsi:type="dcterms:W3CDTF">2024-01-19T14:06:00Z</dcterms:created>
  <dcterms:modified xsi:type="dcterms:W3CDTF">2024-01-19T19:10:00Z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